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4254E" w14:textId="77F2AA5C" w:rsidR="00132ADF" w:rsidRPr="002835A8" w:rsidRDefault="00EA1C22" w:rsidP="00132ADF">
      <w:pPr>
        <w:spacing w:beforeLines="60" w:before="144" w:afterLines="60" w:after="144" w:line="240" w:lineRule="auto"/>
        <w:rPr>
          <w:rFonts w:ascii="Times New Roman" w:eastAsia="Times New Roman" w:hAnsi="Times New Roman" w:cs="Times New Roman"/>
          <w:b/>
          <w:bCs/>
          <w:szCs w:val="20"/>
        </w:rPr>
      </w:pPr>
      <w:r w:rsidRPr="002835A8">
        <w:rPr>
          <w:rFonts w:ascii="Times New Roman" w:eastAsia="Times New Roman" w:hAnsi="Times New Roman" w:cs="Times New Roman"/>
          <w:b/>
          <w:bCs/>
          <w:szCs w:val="20"/>
        </w:rPr>
        <w:t>Stan na dzień sporządzenia prospektu informacyjn</w:t>
      </w:r>
      <w:r w:rsidR="00D5742B">
        <w:rPr>
          <w:rFonts w:ascii="Times New Roman" w:eastAsia="Times New Roman" w:hAnsi="Times New Roman" w:cs="Times New Roman"/>
          <w:b/>
          <w:bCs/>
          <w:szCs w:val="20"/>
        </w:rPr>
        <w:t>e</w:t>
      </w:r>
      <w:r w:rsidRPr="002835A8">
        <w:rPr>
          <w:rFonts w:ascii="Times New Roman" w:eastAsia="Times New Roman" w:hAnsi="Times New Roman" w:cs="Times New Roman"/>
          <w:b/>
          <w:bCs/>
          <w:szCs w:val="20"/>
        </w:rPr>
        <w:t xml:space="preserve">go </w:t>
      </w:r>
      <w:r w:rsidR="00937B7E" w:rsidRPr="000E2DFF">
        <w:rPr>
          <w:rFonts w:ascii="Times New Roman" w:eastAsia="Times New Roman" w:hAnsi="Times New Roman" w:cs="Times New Roman"/>
          <w:b/>
          <w:bCs/>
          <w:szCs w:val="20"/>
        </w:rPr>
        <w:t>wersja 1</w:t>
      </w:r>
      <w:r w:rsidR="00124F39" w:rsidRPr="000E2DFF">
        <w:rPr>
          <w:rFonts w:ascii="Times New Roman" w:eastAsia="Times New Roman" w:hAnsi="Times New Roman" w:cs="Times New Roman"/>
          <w:b/>
          <w:bCs/>
          <w:szCs w:val="20"/>
        </w:rPr>
        <w:t>1</w:t>
      </w:r>
      <w:r w:rsidR="00937B7E" w:rsidRPr="000E2DFF">
        <w:rPr>
          <w:rFonts w:ascii="Times New Roman" w:eastAsia="Times New Roman" w:hAnsi="Times New Roman" w:cs="Times New Roman"/>
          <w:b/>
          <w:bCs/>
          <w:szCs w:val="20"/>
        </w:rPr>
        <w:t>.</w:t>
      </w:r>
      <w:r w:rsidR="00124F39" w:rsidRPr="000E2DFF">
        <w:rPr>
          <w:rFonts w:ascii="Times New Roman" w:eastAsia="Times New Roman" w:hAnsi="Times New Roman" w:cs="Times New Roman"/>
          <w:b/>
          <w:bCs/>
          <w:szCs w:val="20"/>
        </w:rPr>
        <w:t>10</w:t>
      </w:r>
      <w:r w:rsidR="00937B7E" w:rsidRPr="000E2DFF">
        <w:rPr>
          <w:rFonts w:ascii="Times New Roman" w:eastAsia="Times New Roman" w:hAnsi="Times New Roman" w:cs="Times New Roman"/>
          <w:b/>
          <w:bCs/>
          <w:szCs w:val="20"/>
        </w:rPr>
        <w:t>.2024</w:t>
      </w:r>
    </w:p>
    <w:p w14:paraId="223868ED" w14:textId="77777777" w:rsidR="00132ADF" w:rsidRPr="002835A8" w:rsidRDefault="00132ADF" w:rsidP="00132ADF">
      <w:pPr>
        <w:spacing w:beforeLines="60" w:before="144" w:afterLines="60" w:after="144" w:line="240" w:lineRule="auto"/>
        <w:jc w:val="right"/>
        <w:rPr>
          <w:rFonts w:ascii="Times New Roman" w:eastAsia="Times New Roman" w:hAnsi="Times New Roman" w:cs="Times New Roman"/>
          <w:b/>
          <w:bCs/>
          <w:szCs w:val="20"/>
        </w:rPr>
      </w:pPr>
    </w:p>
    <w:p w14:paraId="6FBEE0DF" w14:textId="2CF360C6" w:rsidR="00EA1C22" w:rsidRPr="00D5742B" w:rsidRDefault="00531D6F" w:rsidP="00132ADF">
      <w:pPr>
        <w:spacing w:beforeLines="60" w:before="144" w:afterLines="60" w:after="144" w:line="240" w:lineRule="auto"/>
        <w:jc w:val="right"/>
        <w:rPr>
          <w:rFonts w:ascii="Times New Roman" w:eastAsia="Times New Roman" w:hAnsi="Times New Roman" w:cs="Times New Roman"/>
          <w:b/>
          <w:bCs/>
          <w:szCs w:val="20"/>
        </w:rPr>
      </w:pPr>
      <w:r>
        <w:rPr>
          <w:rFonts w:ascii="Times New Roman" w:eastAsia="Times New Roman" w:hAnsi="Times New Roman" w:cs="Times New Roman"/>
          <w:b/>
          <w:bCs/>
          <w:szCs w:val="20"/>
        </w:rPr>
        <w:t>….</w:t>
      </w:r>
      <w:r w:rsidR="00132ADF" w:rsidRPr="00D5742B">
        <w:rPr>
          <w:rFonts w:ascii="Times New Roman" w:eastAsia="Times New Roman" w:hAnsi="Times New Roman" w:cs="Times New Roman"/>
          <w:b/>
          <w:bCs/>
          <w:szCs w:val="20"/>
        </w:rPr>
        <w:t xml:space="preserve"> r.</w:t>
      </w:r>
    </w:p>
    <w:p w14:paraId="759D5E56" w14:textId="77777777" w:rsidR="00BC6170" w:rsidRPr="002835A8" w:rsidRDefault="00BC6170" w:rsidP="00EA1C22">
      <w:pPr>
        <w:spacing w:beforeLines="60" w:before="144" w:afterLines="60" w:after="144" w:line="240" w:lineRule="auto"/>
        <w:jc w:val="center"/>
        <w:outlineLvl w:val="0"/>
        <w:rPr>
          <w:rFonts w:ascii="Times New Roman" w:eastAsia="Calibri" w:hAnsi="Times New Roman" w:cs="Times New Roman"/>
          <w:b/>
          <w:szCs w:val="20"/>
        </w:rPr>
      </w:pPr>
    </w:p>
    <w:p w14:paraId="65F4DF28" w14:textId="77777777" w:rsidR="00EA1C22" w:rsidRPr="00AE22AA" w:rsidRDefault="00EA1C22" w:rsidP="00EA1C22">
      <w:pPr>
        <w:spacing w:beforeLines="60" w:before="144" w:afterLines="60" w:after="144" w:line="240" w:lineRule="auto"/>
        <w:jc w:val="center"/>
        <w:outlineLvl w:val="0"/>
        <w:rPr>
          <w:rFonts w:ascii="Times New Roman" w:eastAsia="Calibri" w:hAnsi="Times New Roman" w:cs="Times New Roman"/>
          <w:b/>
          <w:sz w:val="28"/>
          <w:szCs w:val="20"/>
        </w:rPr>
      </w:pPr>
      <w:r w:rsidRPr="00AE22AA">
        <w:rPr>
          <w:rFonts w:ascii="Times New Roman" w:eastAsia="Calibri" w:hAnsi="Times New Roman" w:cs="Times New Roman"/>
          <w:b/>
          <w:sz w:val="28"/>
          <w:szCs w:val="20"/>
        </w:rPr>
        <w:t xml:space="preserve">PROSPEKT INFORMACYJNY </w:t>
      </w:r>
    </w:p>
    <w:p w14:paraId="7E21DEF7" w14:textId="77777777" w:rsidR="00EA1C22" w:rsidRPr="002835A8" w:rsidRDefault="00EA1C22" w:rsidP="00EA1C22">
      <w:pPr>
        <w:spacing w:before="60" w:after="60" w:line="240" w:lineRule="auto"/>
        <w:jc w:val="center"/>
        <w:outlineLvl w:val="0"/>
        <w:rPr>
          <w:rFonts w:ascii="Times New Roman" w:eastAsia="Calibri" w:hAnsi="Times New Roman" w:cs="Times New Roman"/>
          <w:b/>
          <w:szCs w:val="20"/>
        </w:rPr>
      </w:pPr>
    </w:p>
    <w:p w14:paraId="747396F9" w14:textId="77777777" w:rsidR="00EA1C22" w:rsidRPr="002835A8" w:rsidRDefault="00EA1C22" w:rsidP="00EA1C22">
      <w:pPr>
        <w:spacing w:beforeLines="60" w:before="144" w:afterLines="60" w:after="144" w:line="240" w:lineRule="auto"/>
        <w:outlineLvl w:val="0"/>
        <w:rPr>
          <w:rFonts w:ascii="Times New Roman" w:eastAsia="Calibri" w:hAnsi="Times New Roman" w:cs="Times New Roman"/>
          <w:b/>
          <w:szCs w:val="20"/>
        </w:rPr>
      </w:pPr>
      <w:r w:rsidRPr="002835A8">
        <w:rPr>
          <w:rFonts w:ascii="Times New Roman" w:eastAsia="Calibri" w:hAnsi="Times New Roman" w:cs="Times New Roman"/>
          <w:b/>
          <w:szCs w:val="20"/>
        </w:rPr>
        <w:t>CZĘŚĆ OGÓLNA</w:t>
      </w:r>
    </w:p>
    <w:p w14:paraId="1173C85E" w14:textId="77777777" w:rsidR="00EA1C22" w:rsidRDefault="00EA1C22" w:rsidP="00920895">
      <w:pPr>
        <w:spacing w:after="0" w:line="240" w:lineRule="auto"/>
        <w:outlineLvl w:val="0"/>
        <w:rPr>
          <w:rFonts w:ascii="Times New Roman" w:eastAsia="Calibri" w:hAnsi="Times New Roman" w:cs="Times New Roman"/>
          <w:b/>
          <w:szCs w:val="20"/>
        </w:rPr>
      </w:pPr>
    </w:p>
    <w:p w14:paraId="1F0B7BFC" w14:textId="77777777" w:rsidR="00F37B0B" w:rsidRPr="002835A8" w:rsidRDefault="00F37B0B" w:rsidP="00920895">
      <w:pPr>
        <w:spacing w:after="0" w:line="240" w:lineRule="auto"/>
        <w:outlineLvl w:val="0"/>
        <w:rPr>
          <w:rFonts w:ascii="Times New Roman" w:eastAsia="Calibri" w:hAnsi="Times New Roman" w:cs="Times New Roman"/>
          <w:b/>
          <w:szCs w:val="20"/>
        </w:rPr>
      </w:pPr>
    </w:p>
    <w:p w14:paraId="21DA8602" w14:textId="77777777" w:rsidR="00EA1C22" w:rsidRPr="002835A8" w:rsidRDefault="00EA1C22" w:rsidP="00920895">
      <w:pPr>
        <w:widowControl w:val="0"/>
        <w:numPr>
          <w:ilvl w:val="0"/>
          <w:numId w:val="1"/>
        </w:numPr>
        <w:autoSpaceDE w:val="0"/>
        <w:autoSpaceDN w:val="0"/>
        <w:adjustRightInd w:val="0"/>
        <w:spacing w:after="100" w:afterAutospacing="1" w:line="240" w:lineRule="auto"/>
        <w:ind w:left="1077"/>
        <w:jc w:val="both"/>
        <w:rPr>
          <w:rFonts w:ascii="Times New Roman" w:eastAsia="Times New Roman" w:hAnsi="Times New Roman" w:cs="Times New Roman"/>
          <w:b/>
          <w:bCs/>
          <w:szCs w:val="20"/>
        </w:rPr>
      </w:pPr>
      <w:r w:rsidRPr="002835A8">
        <w:rPr>
          <w:rFonts w:ascii="Times New Roman" w:eastAsia="Times New Roman" w:hAnsi="Times New Roman" w:cs="Times New Roman"/>
          <w:b/>
          <w:bCs/>
          <w:szCs w:val="20"/>
        </w:rPr>
        <w:t>DANE IDENTYFIKACYJNE I KONTAKTOWE DOTYCZĄCE DEWELOPERA</w:t>
      </w:r>
    </w:p>
    <w:tbl>
      <w:tblPr>
        <w:tblpPr w:leftFromText="141" w:rightFromText="141" w:vertAnchor="text" w:horzAnchor="margin" w:tblpX="-289" w:tblpY="50"/>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7"/>
        <w:gridCol w:w="3240"/>
        <w:gridCol w:w="3259"/>
      </w:tblGrid>
      <w:tr w:rsidR="00EA1C22" w:rsidRPr="002835A8" w14:paraId="502BAAE0" w14:textId="77777777" w:rsidTr="000F440E">
        <w:tc>
          <w:tcPr>
            <w:tcW w:w="9776" w:type="dxa"/>
            <w:gridSpan w:val="3"/>
            <w:tcBorders>
              <w:bottom w:val="single" w:sz="4" w:space="0" w:color="auto"/>
            </w:tcBorders>
            <w:shd w:val="clear" w:color="auto" w:fill="E0E0E0"/>
          </w:tcPr>
          <w:p w14:paraId="5753B59E" w14:textId="77777777" w:rsidR="00EA1C22" w:rsidRPr="002835A8" w:rsidRDefault="00EA1C22" w:rsidP="000F440E">
            <w:pPr>
              <w:spacing w:beforeLines="60" w:before="144" w:afterLines="60" w:after="144" w:line="240" w:lineRule="auto"/>
              <w:jc w:val="both"/>
              <w:rPr>
                <w:rFonts w:ascii="Times New Roman" w:eastAsia="Times New Roman" w:hAnsi="Times New Roman" w:cs="Times New Roman"/>
                <w:b/>
                <w:bCs/>
                <w:szCs w:val="20"/>
              </w:rPr>
            </w:pPr>
            <w:r w:rsidRPr="002835A8">
              <w:rPr>
                <w:rFonts w:ascii="Times New Roman" w:eastAsia="Times New Roman" w:hAnsi="Times New Roman" w:cs="Times New Roman"/>
                <w:b/>
                <w:bCs/>
                <w:szCs w:val="20"/>
              </w:rPr>
              <w:t>DANE DEWELOPERA</w:t>
            </w:r>
          </w:p>
          <w:p w14:paraId="416B65C2" w14:textId="77777777" w:rsidR="00EA1C22" w:rsidRPr="002835A8" w:rsidRDefault="00EA1C22" w:rsidP="000F440E">
            <w:pPr>
              <w:spacing w:beforeLines="60" w:before="144" w:afterLines="60" w:after="144" w:line="240" w:lineRule="auto"/>
              <w:jc w:val="both"/>
              <w:rPr>
                <w:rFonts w:ascii="Times New Roman" w:eastAsia="Times New Roman" w:hAnsi="Times New Roman" w:cs="Times New Roman"/>
                <w:b/>
                <w:bCs/>
                <w:szCs w:val="20"/>
              </w:rPr>
            </w:pPr>
          </w:p>
        </w:tc>
      </w:tr>
      <w:tr w:rsidR="00EA1C22" w:rsidRPr="002835A8" w14:paraId="44A64AE2" w14:textId="77777777" w:rsidTr="000F440E">
        <w:trPr>
          <w:trHeight w:val="375"/>
        </w:trPr>
        <w:tc>
          <w:tcPr>
            <w:tcW w:w="3277" w:type="dxa"/>
            <w:shd w:val="clear" w:color="auto" w:fill="F3F3F3"/>
          </w:tcPr>
          <w:p w14:paraId="364746B1" w14:textId="77777777" w:rsidR="00EA1C22" w:rsidRPr="002835A8" w:rsidRDefault="00EA1C22" w:rsidP="000F440E">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Deweloper</w:t>
            </w:r>
          </w:p>
        </w:tc>
        <w:tc>
          <w:tcPr>
            <w:tcW w:w="6499" w:type="dxa"/>
            <w:gridSpan w:val="2"/>
          </w:tcPr>
          <w:p w14:paraId="1917BAD2" w14:textId="77777777" w:rsidR="00EA1C22" w:rsidRDefault="00EA1C22" w:rsidP="000F440E">
            <w:pPr>
              <w:spacing w:beforeLines="60" w:before="144" w:afterLines="60" w:after="144" w:line="240" w:lineRule="auto"/>
              <w:rPr>
                <w:rFonts w:ascii="Times New Roman" w:eastAsia="Times New Roman" w:hAnsi="Times New Roman" w:cs="Times New Roman"/>
                <w:szCs w:val="20"/>
              </w:rPr>
            </w:pPr>
            <w:r w:rsidRPr="002835A8">
              <w:rPr>
                <w:rFonts w:ascii="Times New Roman" w:eastAsia="Times New Roman" w:hAnsi="Times New Roman" w:cs="Times New Roman"/>
                <w:szCs w:val="20"/>
              </w:rPr>
              <w:br/>
            </w:r>
            <w:r w:rsidR="00AD7CA0">
              <w:rPr>
                <w:rFonts w:ascii="Times New Roman" w:eastAsia="Times New Roman" w:hAnsi="Times New Roman" w:cs="Times New Roman"/>
                <w:szCs w:val="20"/>
              </w:rPr>
              <w:t xml:space="preserve">WTK Invest </w:t>
            </w:r>
            <w:proofErr w:type="spellStart"/>
            <w:r w:rsidR="00AD7CA0">
              <w:rPr>
                <w:rFonts w:ascii="Times New Roman" w:eastAsia="Times New Roman" w:hAnsi="Times New Roman" w:cs="Times New Roman"/>
                <w:szCs w:val="20"/>
              </w:rPr>
              <w:t>Sp</w:t>
            </w:r>
            <w:proofErr w:type="spellEnd"/>
            <w:r w:rsidR="00AD7CA0">
              <w:rPr>
                <w:rFonts w:ascii="Times New Roman" w:eastAsia="Times New Roman" w:hAnsi="Times New Roman" w:cs="Times New Roman"/>
                <w:szCs w:val="20"/>
              </w:rPr>
              <w:t xml:space="preserve"> z o.o. </w:t>
            </w:r>
          </w:p>
          <w:p w14:paraId="676FBCAE" w14:textId="49748B32" w:rsidR="00AD7CA0" w:rsidRPr="002835A8" w:rsidRDefault="00AD7CA0" w:rsidP="000F440E">
            <w:pPr>
              <w:spacing w:beforeLines="60" w:before="144" w:afterLines="60" w:after="144" w:line="240" w:lineRule="auto"/>
              <w:rPr>
                <w:rFonts w:ascii="Times New Roman" w:eastAsia="Times New Roman" w:hAnsi="Times New Roman" w:cs="Times New Roman"/>
                <w:szCs w:val="20"/>
              </w:rPr>
            </w:pPr>
            <w:r>
              <w:rPr>
                <w:rFonts w:ascii="Times New Roman" w:eastAsia="Times New Roman" w:hAnsi="Times New Roman" w:cs="Times New Roman"/>
                <w:szCs w:val="20"/>
              </w:rPr>
              <w:t>KRS 0000609688</w:t>
            </w:r>
          </w:p>
        </w:tc>
      </w:tr>
      <w:tr w:rsidR="00EA1C22" w:rsidRPr="002835A8" w14:paraId="16A55723" w14:textId="77777777" w:rsidTr="000F440E">
        <w:trPr>
          <w:trHeight w:val="1327"/>
        </w:trPr>
        <w:tc>
          <w:tcPr>
            <w:tcW w:w="3277" w:type="dxa"/>
            <w:shd w:val="clear" w:color="auto" w:fill="F3F3F3"/>
          </w:tcPr>
          <w:p w14:paraId="3A939A9E" w14:textId="77777777" w:rsidR="00EA1C22" w:rsidRPr="002835A8" w:rsidRDefault="00EA1C22" w:rsidP="000F440E">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Adres </w:t>
            </w:r>
          </w:p>
        </w:tc>
        <w:tc>
          <w:tcPr>
            <w:tcW w:w="6499" w:type="dxa"/>
            <w:gridSpan w:val="2"/>
          </w:tcPr>
          <w:p w14:paraId="3CA8111D" w14:textId="202D7A31" w:rsidR="00AD7CA0" w:rsidRPr="002835A8" w:rsidRDefault="00AD7CA0" w:rsidP="000F440E">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ul.</w:t>
            </w:r>
            <w:r w:rsidR="00912186">
              <w:rPr>
                <w:rFonts w:ascii="Times New Roman" w:eastAsia="Times New Roman" w:hAnsi="Times New Roman" w:cs="Times New Roman"/>
                <w:szCs w:val="20"/>
              </w:rPr>
              <w:t xml:space="preserve"> </w:t>
            </w:r>
            <w:r>
              <w:rPr>
                <w:rFonts w:ascii="Times New Roman" w:eastAsia="Times New Roman" w:hAnsi="Times New Roman" w:cs="Times New Roman"/>
                <w:szCs w:val="20"/>
              </w:rPr>
              <w:t>Ł</w:t>
            </w:r>
            <w:r w:rsidR="00912186">
              <w:rPr>
                <w:rFonts w:ascii="Times New Roman" w:eastAsia="Times New Roman" w:hAnsi="Times New Roman" w:cs="Times New Roman"/>
                <w:szCs w:val="20"/>
              </w:rPr>
              <w:t>ę</w:t>
            </w:r>
            <w:r>
              <w:rPr>
                <w:rFonts w:ascii="Times New Roman" w:eastAsia="Times New Roman" w:hAnsi="Times New Roman" w:cs="Times New Roman"/>
                <w:szCs w:val="20"/>
              </w:rPr>
              <w:t xml:space="preserve">czycka 9, 85-737 Bydgoszcz, </w:t>
            </w:r>
          </w:p>
        </w:tc>
      </w:tr>
      <w:tr w:rsidR="00EA1C22" w:rsidRPr="002835A8" w14:paraId="699A417B" w14:textId="77777777" w:rsidTr="000F440E">
        <w:trPr>
          <w:trHeight w:val="188"/>
        </w:trPr>
        <w:tc>
          <w:tcPr>
            <w:tcW w:w="3277" w:type="dxa"/>
            <w:shd w:val="clear" w:color="auto" w:fill="F3F3F3"/>
          </w:tcPr>
          <w:p w14:paraId="600C85C5" w14:textId="77777777" w:rsidR="00EA1C22" w:rsidRPr="002835A8" w:rsidRDefault="00EA1C22" w:rsidP="000F440E">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Numer NIP REGON</w:t>
            </w:r>
          </w:p>
        </w:tc>
        <w:tc>
          <w:tcPr>
            <w:tcW w:w="3240" w:type="dxa"/>
          </w:tcPr>
          <w:p w14:paraId="5B74CF46" w14:textId="65481ACB" w:rsidR="00EA1C22" w:rsidRPr="002835A8" w:rsidRDefault="00EA1C22" w:rsidP="000F440E">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NIP</w:t>
            </w:r>
            <w:r w:rsidR="00C16D93" w:rsidRPr="002835A8">
              <w:rPr>
                <w:rFonts w:ascii="Times New Roman" w:eastAsia="Times New Roman" w:hAnsi="Times New Roman" w:cs="Times New Roman"/>
                <w:szCs w:val="20"/>
              </w:rPr>
              <w:t xml:space="preserve"> </w:t>
            </w:r>
            <w:r w:rsidR="00912186">
              <w:rPr>
                <w:rFonts w:ascii="Times New Roman" w:eastAsia="Times New Roman" w:hAnsi="Times New Roman" w:cs="Times New Roman"/>
                <w:szCs w:val="20"/>
              </w:rPr>
              <w:t xml:space="preserve"> 554 29 37 220</w:t>
            </w:r>
          </w:p>
        </w:tc>
        <w:tc>
          <w:tcPr>
            <w:tcW w:w="3259" w:type="dxa"/>
            <w:shd w:val="clear" w:color="auto" w:fill="auto"/>
          </w:tcPr>
          <w:p w14:paraId="2B40A22C" w14:textId="26D81904" w:rsidR="00EA1C22" w:rsidRPr="002835A8" w:rsidRDefault="00C16D93" w:rsidP="000F440E">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REGON</w:t>
            </w:r>
            <w:r w:rsidR="00EA1C22" w:rsidRPr="002835A8">
              <w:rPr>
                <w:rFonts w:ascii="Times New Roman" w:eastAsia="Times New Roman" w:hAnsi="Times New Roman" w:cs="Times New Roman"/>
                <w:szCs w:val="20"/>
              </w:rPr>
              <w:t xml:space="preserve"> </w:t>
            </w:r>
            <w:r w:rsidR="00912186">
              <w:rPr>
                <w:rFonts w:ascii="Times New Roman" w:eastAsia="Times New Roman" w:hAnsi="Times New Roman" w:cs="Times New Roman"/>
                <w:szCs w:val="20"/>
              </w:rPr>
              <w:t>364036504</w:t>
            </w:r>
          </w:p>
        </w:tc>
      </w:tr>
      <w:tr w:rsidR="00EA1C22" w:rsidRPr="002835A8" w14:paraId="0D3352BE" w14:textId="77777777" w:rsidTr="000F440E">
        <w:tc>
          <w:tcPr>
            <w:tcW w:w="3277" w:type="dxa"/>
            <w:shd w:val="clear" w:color="auto" w:fill="F3F3F3"/>
          </w:tcPr>
          <w:p w14:paraId="5DCF012B" w14:textId="77777777" w:rsidR="00EA1C22" w:rsidRPr="002835A8" w:rsidRDefault="00EA1C22" w:rsidP="000F440E">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Numer telefonu</w:t>
            </w:r>
          </w:p>
        </w:tc>
        <w:tc>
          <w:tcPr>
            <w:tcW w:w="6499" w:type="dxa"/>
            <w:gridSpan w:val="2"/>
          </w:tcPr>
          <w:p w14:paraId="696CC7A1" w14:textId="61B38829" w:rsidR="00EA1C22" w:rsidRPr="002835A8" w:rsidRDefault="00912186" w:rsidP="000F440E">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 xml:space="preserve">508 355 357 </w:t>
            </w:r>
          </w:p>
        </w:tc>
      </w:tr>
      <w:tr w:rsidR="00EA1C22" w:rsidRPr="002835A8" w14:paraId="08EF4A8A" w14:textId="77777777" w:rsidTr="000F440E">
        <w:trPr>
          <w:trHeight w:val="272"/>
        </w:trPr>
        <w:tc>
          <w:tcPr>
            <w:tcW w:w="3277" w:type="dxa"/>
            <w:shd w:val="clear" w:color="auto" w:fill="F3F3F3"/>
          </w:tcPr>
          <w:p w14:paraId="04FA020B" w14:textId="77777777" w:rsidR="00EA1C22" w:rsidRPr="002835A8" w:rsidRDefault="00EA1C22" w:rsidP="000F440E">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Adres poczty elektronicznej</w:t>
            </w:r>
          </w:p>
        </w:tc>
        <w:tc>
          <w:tcPr>
            <w:tcW w:w="6499" w:type="dxa"/>
            <w:gridSpan w:val="2"/>
          </w:tcPr>
          <w:p w14:paraId="062D0A42" w14:textId="59ED68D3" w:rsidR="00EA1C22" w:rsidRPr="002835A8" w:rsidRDefault="00FF1FAB" w:rsidP="000F440E">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w</w:t>
            </w:r>
            <w:r w:rsidR="00401BA8">
              <w:rPr>
                <w:rFonts w:ascii="Times New Roman" w:eastAsia="Times New Roman" w:hAnsi="Times New Roman" w:cs="Times New Roman"/>
                <w:szCs w:val="20"/>
              </w:rPr>
              <w:t>tk</w:t>
            </w:r>
            <w:r>
              <w:rPr>
                <w:rFonts w:ascii="Times New Roman" w:eastAsia="Times New Roman" w:hAnsi="Times New Roman" w:cs="Times New Roman"/>
                <w:szCs w:val="20"/>
              </w:rPr>
              <w:t>44</w:t>
            </w:r>
            <w:r w:rsidR="00401BA8">
              <w:rPr>
                <w:rFonts w:ascii="Times New Roman" w:eastAsia="Times New Roman" w:hAnsi="Times New Roman" w:cs="Times New Roman"/>
                <w:szCs w:val="20"/>
              </w:rPr>
              <w:t>@interia.pl</w:t>
            </w:r>
          </w:p>
        </w:tc>
      </w:tr>
      <w:tr w:rsidR="00EA1C22" w:rsidRPr="002835A8" w14:paraId="224F6919" w14:textId="77777777" w:rsidTr="000F440E">
        <w:tc>
          <w:tcPr>
            <w:tcW w:w="3277" w:type="dxa"/>
            <w:shd w:val="clear" w:color="auto" w:fill="F3F3F3"/>
          </w:tcPr>
          <w:p w14:paraId="5F0B4B53" w14:textId="77777777" w:rsidR="00EA1C22" w:rsidRPr="002835A8" w:rsidRDefault="00EA1C22" w:rsidP="000F440E">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Numer faksu</w:t>
            </w:r>
          </w:p>
        </w:tc>
        <w:tc>
          <w:tcPr>
            <w:tcW w:w="6499" w:type="dxa"/>
            <w:gridSpan w:val="2"/>
          </w:tcPr>
          <w:p w14:paraId="4F559C06" w14:textId="579A838E" w:rsidR="00EA1C22" w:rsidRPr="002835A8" w:rsidRDefault="00C16D93" w:rsidP="000F440E">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w:t>
            </w:r>
          </w:p>
        </w:tc>
      </w:tr>
      <w:tr w:rsidR="00EA1C22" w:rsidRPr="002835A8" w14:paraId="519D07CA" w14:textId="77777777" w:rsidTr="000F440E">
        <w:trPr>
          <w:trHeight w:val="218"/>
        </w:trPr>
        <w:tc>
          <w:tcPr>
            <w:tcW w:w="3277" w:type="dxa"/>
            <w:shd w:val="clear" w:color="auto" w:fill="F3F3F3"/>
          </w:tcPr>
          <w:p w14:paraId="5B7FB288" w14:textId="77777777" w:rsidR="00EA1C22" w:rsidRPr="002835A8" w:rsidRDefault="00EA1C22" w:rsidP="000F440E">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Adres strony internetowej dewelopera</w:t>
            </w:r>
          </w:p>
        </w:tc>
        <w:tc>
          <w:tcPr>
            <w:tcW w:w="6499" w:type="dxa"/>
            <w:gridSpan w:val="2"/>
            <w:shd w:val="clear" w:color="auto" w:fill="auto"/>
          </w:tcPr>
          <w:p w14:paraId="4CF0EC10" w14:textId="67EA6E9A" w:rsidR="00EA1C22" w:rsidRPr="002835A8" w:rsidRDefault="00401BA8" w:rsidP="000F440E">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www.in-city.pl</w:t>
            </w:r>
          </w:p>
        </w:tc>
      </w:tr>
    </w:tbl>
    <w:p w14:paraId="1040B264" w14:textId="77777777" w:rsidR="00EA1C22" w:rsidRPr="00F37B0B" w:rsidRDefault="00EA1C22" w:rsidP="00F37B0B">
      <w:pPr>
        <w:widowControl w:val="0"/>
        <w:numPr>
          <w:ilvl w:val="0"/>
          <w:numId w:val="1"/>
        </w:numPr>
        <w:autoSpaceDE w:val="0"/>
        <w:autoSpaceDN w:val="0"/>
        <w:adjustRightInd w:val="0"/>
        <w:spacing w:before="240" w:after="100" w:afterAutospacing="1" w:line="240" w:lineRule="auto"/>
        <w:ind w:left="1077"/>
        <w:jc w:val="both"/>
        <w:rPr>
          <w:rFonts w:ascii="Times New Roman" w:eastAsia="Times New Roman" w:hAnsi="Times New Roman" w:cs="Times New Roman"/>
          <w:b/>
          <w:szCs w:val="20"/>
        </w:rPr>
      </w:pPr>
      <w:r w:rsidRPr="00F37B0B">
        <w:rPr>
          <w:rFonts w:ascii="Times New Roman" w:eastAsia="Times New Roman" w:hAnsi="Times New Roman" w:cs="Times New Roman"/>
          <w:b/>
          <w:szCs w:val="20"/>
        </w:rPr>
        <w:t>DOŚWIADCZENIE DEWELOPERA</w:t>
      </w:r>
    </w:p>
    <w:tbl>
      <w:tblPr>
        <w:tblpPr w:leftFromText="141" w:rightFromText="141" w:vertAnchor="text" w:horzAnchor="margin" w:tblpX="-289" w:tblpY="5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6"/>
      </w:tblGrid>
      <w:tr w:rsidR="00EA1C22" w:rsidRPr="002835A8" w14:paraId="67C85EB5" w14:textId="77777777" w:rsidTr="000F440E">
        <w:trPr>
          <w:trHeight w:val="704"/>
        </w:trPr>
        <w:tc>
          <w:tcPr>
            <w:tcW w:w="9776" w:type="dxa"/>
            <w:tcBorders>
              <w:bottom w:val="single" w:sz="4" w:space="0" w:color="auto"/>
            </w:tcBorders>
            <w:shd w:val="clear" w:color="auto" w:fill="E0E0E0"/>
          </w:tcPr>
          <w:p w14:paraId="7D8A4A18" w14:textId="77777777" w:rsidR="00EA1C22" w:rsidRPr="002835A8" w:rsidRDefault="00EA1C22" w:rsidP="000F440E">
            <w:pPr>
              <w:spacing w:beforeLines="60" w:before="144" w:afterLines="60" w:after="144" w:line="240" w:lineRule="auto"/>
              <w:jc w:val="both"/>
              <w:rPr>
                <w:rFonts w:ascii="Times New Roman" w:eastAsia="Times New Roman" w:hAnsi="Times New Roman" w:cs="Times New Roman"/>
                <w:b/>
                <w:szCs w:val="20"/>
              </w:rPr>
            </w:pPr>
            <w:r w:rsidRPr="002835A8">
              <w:rPr>
                <w:rFonts w:ascii="Times New Roman" w:eastAsia="Times New Roman" w:hAnsi="Times New Roman" w:cs="Times New Roman"/>
                <w:b/>
                <w:szCs w:val="20"/>
              </w:rPr>
              <w:t>HISTORIA I UDOKUMENTOWANE</w:t>
            </w:r>
            <w:r w:rsidR="00920895" w:rsidRPr="002835A8">
              <w:rPr>
                <w:rFonts w:ascii="Times New Roman" w:eastAsia="Times New Roman" w:hAnsi="Times New Roman" w:cs="Times New Roman"/>
                <w:b/>
                <w:szCs w:val="20"/>
              </w:rPr>
              <w:t xml:space="preserve"> </w:t>
            </w:r>
            <w:r w:rsidRPr="002835A8">
              <w:rPr>
                <w:rFonts w:ascii="Times New Roman" w:eastAsia="Times New Roman" w:hAnsi="Times New Roman" w:cs="Times New Roman"/>
                <w:b/>
                <w:szCs w:val="20"/>
              </w:rPr>
              <w:t>DOŚWIADCZENIE DEWELOPERA</w:t>
            </w:r>
          </w:p>
          <w:p w14:paraId="1D087049" w14:textId="09F977AB" w:rsidR="008B07A8" w:rsidRPr="008B07A8" w:rsidRDefault="008B07A8" w:rsidP="000F440E">
            <w:pPr>
              <w:spacing w:before="143"/>
              <w:ind w:left="103"/>
              <w:jc w:val="both"/>
              <w:rPr>
                <w:rFonts w:ascii="Times New Roman" w:hAnsi="Times New Roman" w:cs="Times New Roman"/>
                <w:bCs/>
                <w:sz w:val="24"/>
                <w:lang w:eastAsia="zh-CN"/>
              </w:rPr>
            </w:pPr>
          </w:p>
        </w:tc>
      </w:tr>
    </w:tbl>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2"/>
        <w:gridCol w:w="6680"/>
      </w:tblGrid>
      <w:tr w:rsidR="00EA1C22" w:rsidRPr="002835A8" w14:paraId="77B7E973" w14:textId="77777777" w:rsidTr="000F440E">
        <w:tc>
          <w:tcPr>
            <w:tcW w:w="9782" w:type="dxa"/>
            <w:gridSpan w:val="2"/>
            <w:tcBorders>
              <w:bottom w:val="single" w:sz="4" w:space="0" w:color="auto"/>
            </w:tcBorders>
            <w:shd w:val="clear" w:color="auto" w:fill="E0E0E0"/>
          </w:tcPr>
          <w:p w14:paraId="15C19444" w14:textId="77777777" w:rsidR="00F37B0B" w:rsidRDefault="00EA1C22" w:rsidP="00EA1C22">
            <w:pPr>
              <w:spacing w:beforeLines="60" w:before="144" w:afterLines="60" w:after="144" w:line="240" w:lineRule="auto"/>
              <w:jc w:val="both"/>
              <w:rPr>
                <w:rFonts w:ascii="Times New Roman" w:eastAsia="Times New Roman" w:hAnsi="Times New Roman" w:cs="Times New Roman"/>
                <w:b/>
                <w:szCs w:val="20"/>
              </w:rPr>
            </w:pPr>
            <w:r w:rsidRPr="002835A8">
              <w:rPr>
                <w:rFonts w:ascii="Times New Roman" w:eastAsia="Times New Roman" w:hAnsi="Times New Roman" w:cs="Times New Roman"/>
                <w:b/>
                <w:szCs w:val="20"/>
              </w:rPr>
              <w:t>PRZYKŁAD UKOŃCZONEGO PRZEDSIĘWZIĘCIA DEWELOPERSKIEGO (należy wskazać, o ile istnieją, trzy ukończone przedsięwzięcia deweloperskie, w</w:t>
            </w:r>
            <w:r w:rsidR="00920895" w:rsidRPr="002835A8">
              <w:rPr>
                <w:rFonts w:ascii="Times New Roman" w:eastAsia="Times New Roman" w:hAnsi="Times New Roman" w:cs="Times New Roman"/>
                <w:b/>
                <w:szCs w:val="20"/>
              </w:rPr>
              <w:t xml:space="preserve"> </w:t>
            </w:r>
            <w:r w:rsidRPr="002835A8">
              <w:rPr>
                <w:rFonts w:ascii="Times New Roman" w:eastAsia="Times New Roman" w:hAnsi="Times New Roman" w:cs="Times New Roman"/>
                <w:b/>
                <w:szCs w:val="20"/>
              </w:rPr>
              <w:t>tym</w:t>
            </w:r>
            <w:r w:rsidR="00920895" w:rsidRPr="002835A8">
              <w:rPr>
                <w:rFonts w:ascii="Times New Roman" w:eastAsia="Times New Roman" w:hAnsi="Times New Roman" w:cs="Times New Roman"/>
                <w:b/>
                <w:szCs w:val="20"/>
              </w:rPr>
              <w:t xml:space="preserve"> </w:t>
            </w:r>
            <w:r w:rsidRPr="002835A8">
              <w:rPr>
                <w:rFonts w:ascii="Times New Roman" w:eastAsia="Times New Roman" w:hAnsi="Times New Roman" w:cs="Times New Roman"/>
                <w:b/>
                <w:szCs w:val="20"/>
              </w:rPr>
              <w:t>ostatnie)</w:t>
            </w:r>
          </w:p>
          <w:p w14:paraId="0CE63CD2" w14:textId="382E1DB0" w:rsidR="00F80A03" w:rsidRPr="002835A8" w:rsidRDefault="00F80A03" w:rsidP="00EA1C22">
            <w:pPr>
              <w:spacing w:beforeLines="60" w:before="144" w:afterLines="60" w:after="144" w:line="240" w:lineRule="auto"/>
              <w:jc w:val="both"/>
              <w:rPr>
                <w:rFonts w:ascii="Times New Roman" w:eastAsia="Times New Roman" w:hAnsi="Times New Roman" w:cs="Times New Roman"/>
                <w:b/>
                <w:szCs w:val="20"/>
              </w:rPr>
            </w:pPr>
          </w:p>
        </w:tc>
      </w:tr>
      <w:tr w:rsidR="00EA1C22" w:rsidRPr="002835A8" w14:paraId="56F53B92" w14:textId="77777777" w:rsidTr="000F440E">
        <w:trPr>
          <w:trHeight w:val="135"/>
        </w:trPr>
        <w:tc>
          <w:tcPr>
            <w:tcW w:w="3102" w:type="dxa"/>
            <w:shd w:val="clear" w:color="auto" w:fill="F3F3F3"/>
          </w:tcPr>
          <w:p w14:paraId="6583E493"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lastRenderedPageBreak/>
              <w:t xml:space="preserve">Adres </w:t>
            </w:r>
          </w:p>
        </w:tc>
        <w:tc>
          <w:tcPr>
            <w:tcW w:w="6680" w:type="dxa"/>
          </w:tcPr>
          <w:p w14:paraId="0FE4C8BA" w14:textId="472A22FA" w:rsidR="00EA1C22" w:rsidRPr="002835A8" w:rsidRDefault="00FF1FAB" w:rsidP="00EA1C22">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ul.</w:t>
            </w:r>
            <w:r w:rsidR="00937B7E">
              <w:rPr>
                <w:rFonts w:ascii="Times New Roman" w:eastAsia="Times New Roman" w:hAnsi="Times New Roman" w:cs="Times New Roman"/>
                <w:szCs w:val="20"/>
              </w:rPr>
              <w:t xml:space="preserve"> </w:t>
            </w:r>
            <w:r>
              <w:rPr>
                <w:rFonts w:ascii="Times New Roman" w:eastAsia="Times New Roman" w:hAnsi="Times New Roman" w:cs="Times New Roman"/>
                <w:szCs w:val="20"/>
              </w:rPr>
              <w:t>Kaszubska 13, Bydgoszcz</w:t>
            </w:r>
          </w:p>
        </w:tc>
      </w:tr>
      <w:tr w:rsidR="00EA1C22" w:rsidRPr="002835A8" w14:paraId="7112F440" w14:textId="77777777" w:rsidTr="000F440E">
        <w:tc>
          <w:tcPr>
            <w:tcW w:w="3102" w:type="dxa"/>
            <w:shd w:val="clear" w:color="auto" w:fill="F3F3F3"/>
          </w:tcPr>
          <w:p w14:paraId="18FB2C21"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Data rozpoczęcia </w:t>
            </w:r>
          </w:p>
        </w:tc>
        <w:tc>
          <w:tcPr>
            <w:tcW w:w="6680" w:type="dxa"/>
          </w:tcPr>
          <w:p w14:paraId="76D8AA87" w14:textId="146BCB82" w:rsidR="00EA1C22" w:rsidRPr="002835A8" w:rsidRDefault="00DC7AF1" w:rsidP="00EA1C22">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2016</w:t>
            </w:r>
          </w:p>
        </w:tc>
      </w:tr>
      <w:tr w:rsidR="00EA1C22" w:rsidRPr="002835A8" w14:paraId="72D61755" w14:textId="77777777" w:rsidTr="000F440E">
        <w:tc>
          <w:tcPr>
            <w:tcW w:w="3102" w:type="dxa"/>
            <w:shd w:val="clear" w:color="auto" w:fill="F3F3F3"/>
          </w:tcPr>
          <w:p w14:paraId="7F313B26"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Data wydania decyzji o pozwoleniu na użytkowanie</w:t>
            </w:r>
          </w:p>
        </w:tc>
        <w:tc>
          <w:tcPr>
            <w:tcW w:w="6680" w:type="dxa"/>
          </w:tcPr>
          <w:p w14:paraId="1EB72368" w14:textId="2AF1043A" w:rsidR="00EA1C22" w:rsidRPr="002835A8" w:rsidRDefault="00DC7AF1" w:rsidP="00EA1C22">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2018</w:t>
            </w:r>
          </w:p>
        </w:tc>
      </w:tr>
      <w:tr w:rsidR="00EA1C22" w:rsidRPr="002835A8" w14:paraId="0ACB0B16" w14:textId="77777777" w:rsidTr="000F440E">
        <w:tc>
          <w:tcPr>
            <w:tcW w:w="9782" w:type="dxa"/>
            <w:gridSpan w:val="2"/>
            <w:tcBorders>
              <w:bottom w:val="single" w:sz="4" w:space="0" w:color="auto"/>
            </w:tcBorders>
            <w:shd w:val="clear" w:color="auto" w:fill="E0E0E0"/>
          </w:tcPr>
          <w:p w14:paraId="2600E12C" w14:textId="427E5916" w:rsidR="00EA1C22" w:rsidRPr="002835A8" w:rsidRDefault="00EA1C22" w:rsidP="00EA1C22">
            <w:pPr>
              <w:spacing w:beforeLines="60" w:before="144" w:afterLines="60" w:after="144" w:line="240" w:lineRule="auto"/>
              <w:jc w:val="both"/>
              <w:rPr>
                <w:rFonts w:ascii="Times New Roman" w:eastAsia="Times New Roman" w:hAnsi="Times New Roman" w:cs="Times New Roman"/>
                <w:b/>
                <w:szCs w:val="20"/>
              </w:rPr>
            </w:pPr>
            <w:r w:rsidRPr="002835A8">
              <w:rPr>
                <w:rFonts w:ascii="Times New Roman" w:eastAsia="Times New Roman" w:hAnsi="Times New Roman" w:cs="Times New Roman"/>
                <w:b/>
                <w:szCs w:val="20"/>
              </w:rPr>
              <w:t>PRZYKŁAD INNEGO UKOŃCZONEGO PRZEDSIĘWZIĘCIA DEWELOPERSKIEGO</w:t>
            </w:r>
          </w:p>
        </w:tc>
      </w:tr>
      <w:tr w:rsidR="00EA1C22" w:rsidRPr="002835A8" w14:paraId="1F718D01" w14:textId="77777777" w:rsidTr="000F440E">
        <w:trPr>
          <w:trHeight w:val="135"/>
        </w:trPr>
        <w:tc>
          <w:tcPr>
            <w:tcW w:w="3102" w:type="dxa"/>
            <w:shd w:val="clear" w:color="auto" w:fill="F3F3F3"/>
          </w:tcPr>
          <w:p w14:paraId="2A750404"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Adres </w:t>
            </w:r>
          </w:p>
        </w:tc>
        <w:tc>
          <w:tcPr>
            <w:tcW w:w="6680" w:type="dxa"/>
          </w:tcPr>
          <w:p w14:paraId="6627C9B2" w14:textId="74BB5232" w:rsidR="00EA1C22" w:rsidRPr="002835A8" w:rsidRDefault="00777839" w:rsidP="00EA1C22">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w:t>
            </w:r>
          </w:p>
        </w:tc>
      </w:tr>
      <w:tr w:rsidR="00EA1C22" w:rsidRPr="002835A8" w14:paraId="71AB012C" w14:textId="77777777" w:rsidTr="000F440E">
        <w:tc>
          <w:tcPr>
            <w:tcW w:w="3102" w:type="dxa"/>
            <w:shd w:val="clear" w:color="auto" w:fill="F3F3F3"/>
          </w:tcPr>
          <w:p w14:paraId="623B22F2"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Data rozpoczęcia </w:t>
            </w:r>
          </w:p>
        </w:tc>
        <w:tc>
          <w:tcPr>
            <w:tcW w:w="6680" w:type="dxa"/>
          </w:tcPr>
          <w:p w14:paraId="11B897FA" w14:textId="514D4093" w:rsidR="00EA1C22" w:rsidRPr="002835A8" w:rsidRDefault="00777839" w:rsidP="00EA1C22">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w:t>
            </w:r>
          </w:p>
        </w:tc>
      </w:tr>
      <w:tr w:rsidR="00EA1C22" w:rsidRPr="002835A8" w14:paraId="62E95ACD" w14:textId="77777777" w:rsidTr="000F440E">
        <w:tc>
          <w:tcPr>
            <w:tcW w:w="3102" w:type="dxa"/>
            <w:shd w:val="clear" w:color="auto" w:fill="F3F3F3"/>
          </w:tcPr>
          <w:p w14:paraId="4858ED65"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Data wydania decyzji o pozwoleniu na użytkowanie</w:t>
            </w:r>
          </w:p>
        </w:tc>
        <w:tc>
          <w:tcPr>
            <w:tcW w:w="6680" w:type="dxa"/>
          </w:tcPr>
          <w:p w14:paraId="169811A3" w14:textId="1BB31D59" w:rsidR="00EA1C22" w:rsidRPr="002835A8" w:rsidRDefault="00777839" w:rsidP="00EA1C22">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w:t>
            </w:r>
          </w:p>
        </w:tc>
      </w:tr>
      <w:tr w:rsidR="00EA1C22" w:rsidRPr="002835A8" w14:paraId="1F7BDB8B" w14:textId="77777777" w:rsidTr="000F440E">
        <w:trPr>
          <w:trHeight w:val="708"/>
        </w:trPr>
        <w:tc>
          <w:tcPr>
            <w:tcW w:w="9782" w:type="dxa"/>
            <w:gridSpan w:val="2"/>
            <w:tcBorders>
              <w:bottom w:val="single" w:sz="4" w:space="0" w:color="auto"/>
            </w:tcBorders>
            <w:shd w:val="clear" w:color="auto" w:fill="E0E0E0"/>
          </w:tcPr>
          <w:p w14:paraId="0B8F9CB7" w14:textId="7409BD25" w:rsidR="001E5CC8" w:rsidRPr="002835A8" w:rsidRDefault="00EA1C22" w:rsidP="00EA1C22">
            <w:pPr>
              <w:spacing w:before="100" w:beforeAutospacing="1" w:after="100" w:afterAutospacing="1" w:line="240" w:lineRule="auto"/>
              <w:jc w:val="both"/>
              <w:rPr>
                <w:rFonts w:ascii="Times New Roman" w:eastAsia="Times New Roman" w:hAnsi="Times New Roman" w:cs="Times New Roman"/>
                <w:b/>
                <w:szCs w:val="20"/>
              </w:rPr>
            </w:pPr>
            <w:r w:rsidRPr="002835A8">
              <w:rPr>
                <w:rFonts w:ascii="Times New Roman" w:eastAsia="Times New Roman" w:hAnsi="Times New Roman" w:cs="Times New Roman"/>
                <w:b/>
                <w:szCs w:val="20"/>
              </w:rPr>
              <w:t>PRZYKŁAD OSTATNIEGO UKOŃCZONEGO PRZEDSIĘWZIĘCIA DEWELOPERSKIEGO</w:t>
            </w:r>
          </w:p>
        </w:tc>
      </w:tr>
      <w:tr w:rsidR="00EA1C22" w:rsidRPr="002835A8" w14:paraId="6FDFC9A2" w14:textId="77777777" w:rsidTr="000F440E">
        <w:trPr>
          <w:trHeight w:val="135"/>
        </w:trPr>
        <w:tc>
          <w:tcPr>
            <w:tcW w:w="3102" w:type="dxa"/>
            <w:shd w:val="clear" w:color="auto" w:fill="F3F3F3"/>
          </w:tcPr>
          <w:p w14:paraId="6DA22CC6"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Adres </w:t>
            </w:r>
          </w:p>
        </w:tc>
        <w:tc>
          <w:tcPr>
            <w:tcW w:w="6680" w:type="dxa"/>
          </w:tcPr>
          <w:p w14:paraId="019C9A80" w14:textId="41799FEC" w:rsidR="00EA1C22" w:rsidRPr="002835A8" w:rsidRDefault="00777839" w:rsidP="00EA1C22">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w:t>
            </w:r>
          </w:p>
        </w:tc>
      </w:tr>
      <w:tr w:rsidR="00EA1C22" w:rsidRPr="002835A8" w14:paraId="0CCD1FAA" w14:textId="77777777" w:rsidTr="000F440E">
        <w:tc>
          <w:tcPr>
            <w:tcW w:w="3102" w:type="dxa"/>
            <w:shd w:val="clear" w:color="auto" w:fill="F3F3F3"/>
          </w:tcPr>
          <w:p w14:paraId="77474156"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Data rozpoczęcia </w:t>
            </w:r>
          </w:p>
        </w:tc>
        <w:tc>
          <w:tcPr>
            <w:tcW w:w="6680" w:type="dxa"/>
          </w:tcPr>
          <w:p w14:paraId="03A284CB" w14:textId="71F8EA3C" w:rsidR="00EA1C22" w:rsidRPr="002835A8" w:rsidRDefault="00777839" w:rsidP="00EA1C22">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w:t>
            </w:r>
          </w:p>
        </w:tc>
      </w:tr>
      <w:tr w:rsidR="00EA1C22" w:rsidRPr="002835A8" w14:paraId="74AA255F" w14:textId="77777777" w:rsidTr="000F440E">
        <w:tc>
          <w:tcPr>
            <w:tcW w:w="3102" w:type="dxa"/>
            <w:shd w:val="clear" w:color="auto" w:fill="F3F3F3"/>
          </w:tcPr>
          <w:p w14:paraId="34446DE9"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Data wydania decyzji o pozwoleniu na użytkowanie</w:t>
            </w:r>
          </w:p>
        </w:tc>
        <w:tc>
          <w:tcPr>
            <w:tcW w:w="6680" w:type="dxa"/>
          </w:tcPr>
          <w:p w14:paraId="4039637A" w14:textId="753F0744" w:rsidR="00EA1C22" w:rsidRPr="002835A8" w:rsidRDefault="00777839" w:rsidP="00EA1C22">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w:t>
            </w:r>
          </w:p>
        </w:tc>
      </w:tr>
    </w:tbl>
    <w:p w14:paraId="3E68967D"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b/>
          <w:bCs/>
          <w:sz w:val="18"/>
          <w:szCs w:val="20"/>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6685"/>
      </w:tblGrid>
      <w:tr w:rsidR="00EA1C22" w:rsidRPr="002835A8" w14:paraId="07A1E336" w14:textId="77777777" w:rsidTr="000F440E">
        <w:tc>
          <w:tcPr>
            <w:tcW w:w="3097" w:type="dxa"/>
            <w:shd w:val="clear" w:color="auto" w:fill="F3F3F3"/>
          </w:tcPr>
          <w:p w14:paraId="4D61FF51"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b/>
                <w:szCs w:val="20"/>
              </w:rPr>
            </w:pPr>
            <w:r w:rsidRPr="002835A8">
              <w:rPr>
                <w:rFonts w:ascii="Times New Roman" w:eastAsia="Times New Roman" w:hAnsi="Times New Roman" w:cs="Times New Roman"/>
                <w:szCs w:val="20"/>
              </w:rPr>
              <w:t>Czy przeciwko deweloperowi prowadzono lub prowadzi się postępowania egzekucyjne na kwotę powyżej 100 000 zł</w:t>
            </w:r>
          </w:p>
        </w:tc>
        <w:tc>
          <w:tcPr>
            <w:tcW w:w="6685" w:type="dxa"/>
          </w:tcPr>
          <w:p w14:paraId="7687A638" w14:textId="77777777" w:rsidR="001E5CC8" w:rsidRPr="002835A8" w:rsidRDefault="001E5CC8" w:rsidP="00B00632">
            <w:pPr>
              <w:spacing w:beforeLines="60" w:before="144" w:afterLines="60" w:after="144" w:line="240" w:lineRule="auto"/>
              <w:jc w:val="center"/>
              <w:rPr>
                <w:rFonts w:ascii="Times New Roman" w:eastAsia="Times New Roman" w:hAnsi="Times New Roman" w:cs="Times New Roman"/>
                <w:szCs w:val="20"/>
              </w:rPr>
            </w:pPr>
          </w:p>
          <w:p w14:paraId="438CB253" w14:textId="5054DBF6" w:rsidR="00EA1C22" w:rsidRPr="002835A8" w:rsidRDefault="00D249F3" w:rsidP="00C16D93">
            <w:pPr>
              <w:spacing w:beforeLines="60" w:before="144" w:afterLines="60" w:after="144" w:line="240" w:lineRule="auto"/>
              <w:rPr>
                <w:rFonts w:ascii="Times New Roman" w:eastAsia="Times New Roman" w:hAnsi="Times New Roman" w:cs="Times New Roman"/>
                <w:szCs w:val="20"/>
              </w:rPr>
            </w:pPr>
            <w:r w:rsidRPr="002835A8">
              <w:rPr>
                <w:rFonts w:ascii="Times New Roman" w:eastAsia="Times New Roman" w:hAnsi="Times New Roman" w:cs="Times New Roman"/>
                <w:szCs w:val="20"/>
              </w:rPr>
              <w:t>Nie.</w:t>
            </w:r>
          </w:p>
        </w:tc>
      </w:tr>
    </w:tbl>
    <w:p w14:paraId="689645EA" w14:textId="77777777" w:rsidR="00EA1C22" w:rsidRPr="002835A8" w:rsidRDefault="00EA1C22" w:rsidP="00921952">
      <w:pPr>
        <w:spacing w:beforeLines="60" w:before="144" w:after="0" w:line="240" w:lineRule="auto"/>
        <w:jc w:val="both"/>
        <w:rPr>
          <w:rFonts w:ascii="Times New Roman" w:eastAsia="Times New Roman" w:hAnsi="Times New Roman" w:cs="Times New Roman"/>
          <w:b/>
          <w:bCs/>
          <w:sz w:val="18"/>
          <w:szCs w:val="20"/>
        </w:rPr>
      </w:pPr>
    </w:p>
    <w:p w14:paraId="6804FDCB" w14:textId="77777777" w:rsidR="00EA1C22" w:rsidRPr="002835A8" w:rsidRDefault="00EA1C22" w:rsidP="00921952">
      <w:pPr>
        <w:widowControl w:val="0"/>
        <w:numPr>
          <w:ilvl w:val="0"/>
          <w:numId w:val="2"/>
        </w:numPr>
        <w:autoSpaceDE w:val="0"/>
        <w:autoSpaceDN w:val="0"/>
        <w:adjustRightInd w:val="0"/>
        <w:spacing w:before="100" w:beforeAutospacing="1" w:after="120" w:line="240" w:lineRule="auto"/>
        <w:ind w:left="1077"/>
        <w:jc w:val="both"/>
        <w:rPr>
          <w:rFonts w:ascii="Times New Roman" w:eastAsia="Times New Roman" w:hAnsi="Times New Roman" w:cs="Times New Roman"/>
          <w:b/>
          <w:bCs/>
          <w:szCs w:val="20"/>
        </w:rPr>
      </w:pPr>
      <w:r w:rsidRPr="002835A8">
        <w:rPr>
          <w:rFonts w:ascii="Times New Roman" w:eastAsia="Times New Roman" w:hAnsi="Times New Roman" w:cs="Times New Roman"/>
          <w:b/>
          <w:bCs/>
          <w:szCs w:val="20"/>
        </w:rPr>
        <w:t>INFORMACJE DOTYCZĄCE NIERUCHOMOŚCI I PRZEDSIĘWZIĘCIA DEWELOPERSKIEGO</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9"/>
        <w:gridCol w:w="3419"/>
        <w:gridCol w:w="3264"/>
      </w:tblGrid>
      <w:tr w:rsidR="00EA1C22" w:rsidRPr="002835A8" w14:paraId="58A2D41C" w14:textId="77777777" w:rsidTr="000F440E">
        <w:tc>
          <w:tcPr>
            <w:tcW w:w="9782" w:type="dxa"/>
            <w:gridSpan w:val="3"/>
            <w:tcBorders>
              <w:bottom w:val="single" w:sz="4" w:space="0" w:color="auto"/>
            </w:tcBorders>
            <w:shd w:val="clear" w:color="auto" w:fill="E0E0E0"/>
          </w:tcPr>
          <w:p w14:paraId="06BB406A" w14:textId="6DC9DBFF" w:rsidR="00EA1C22" w:rsidRPr="002835A8" w:rsidRDefault="00EA1C22" w:rsidP="008B07A8">
            <w:pPr>
              <w:spacing w:beforeLines="60" w:before="144" w:afterLines="60" w:after="144" w:line="240" w:lineRule="auto"/>
              <w:rPr>
                <w:rFonts w:ascii="Times New Roman" w:eastAsia="Times New Roman" w:hAnsi="Times New Roman" w:cs="Times New Roman"/>
                <w:b/>
                <w:szCs w:val="20"/>
              </w:rPr>
            </w:pPr>
            <w:r w:rsidRPr="002835A8">
              <w:rPr>
                <w:rFonts w:ascii="Times New Roman" w:eastAsia="Times New Roman" w:hAnsi="Times New Roman" w:cs="Times New Roman"/>
                <w:b/>
                <w:szCs w:val="20"/>
              </w:rPr>
              <w:t>INFORMACJE DOTYCZĄCE GRUNTU I ZAGOSPO</w:t>
            </w:r>
            <w:r w:rsidR="008B07A8">
              <w:rPr>
                <w:rFonts w:ascii="Times New Roman" w:eastAsia="Times New Roman" w:hAnsi="Times New Roman" w:cs="Times New Roman"/>
                <w:b/>
                <w:szCs w:val="20"/>
              </w:rPr>
              <w:t>DAROWANIA PRZESTRZENNEGO TERENU</w:t>
            </w:r>
          </w:p>
        </w:tc>
      </w:tr>
      <w:tr w:rsidR="00EA1C22" w:rsidRPr="002835A8" w14:paraId="24C87474" w14:textId="77777777" w:rsidTr="000F440E">
        <w:trPr>
          <w:trHeight w:val="135"/>
        </w:trPr>
        <w:tc>
          <w:tcPr>
            <w:tcW w:w="3099" w:type="dxa"/>
            <w:shd w:val="clear" w:color="auto" w:fill="F3F3F3"/>
          </w:tcPr>
          <w:p w14:paraId="79B01973"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Adres i numer działki ewidencyjnej i obrębu</w:t>
            </w:r>
            <w:r w:rsidRPr="002835A8">
              <w:rPr>
                <w:rFonts w:ascii="Times New Roman" w:eastAsia="Times New Roman" w:hAnsi="Times New Roman" w:cs="Times New Roman"/>
                <w:szCs w:val="20"/>
                <w:vertAlign w:val="superscript"/>
              </w:rPr>
              <w:footnoteReference w:customMarkFollows="1" w:id="2"/>
              <w:t>1)</w:t>
            </w:r>
          </w:p>
        </w:tc>
        <w:tc>
          <w:tcPr>
            <w:tcW w:w="6683" w:type="dxa"/>
            <w:gridSpan w:val="2"/>
          </w:tcPr>
          <w:p w14:paraId="162A07B2" w14:textId="368C9EBF" w:rsidR="00F42356" w:rsidRDefault="00777839" w:rsidP="00D5742B">
            <w:pPr>
              <w:pStyle w:val="TableParagraph"/>
              <w:jc w:val="both"/>
              <w:rPr>
                <w:szCs w:val="20"/>
              </w:rPr>
            </w:pPr>
            <w:r>
              <w:rPr>
                <w:szCs w:val="20"/>
              </w:rPr>
              <w:t>ul.</w:t>
            </w:r>
            <w:r w:rsidR="00937B7E">
              <w:rPr>
                <w:szCs w:val="20"/>
              </w:rPr>
              <w:t xml:space="preserve"> </w:t>
            </w:r>
            <w:r>
              <w:rPr>
                <w:szCs w:val="20"/>
              </w:rPr>
              <w:t>Kościuszki 44, Bydgoszcz</w:t>
            </w:r>
          </w:p>
          <w:p w14:paraId="73CD4477" w14:textId="5CC2E235" w:rsidR="00777839" w:rsidRPr="002835A8" w:rsidRDefault="00777839" w:rsidP="00D5742B">
            <w:pPr>
              <w:pStyle w:val="TableParagraph"/>
              <w:jc w:val="both"/>
              <w:rPr>
                <w:szCs w:val="20"/>
              </w:rPr>
            </w:pPr>
            <w:r>
              <w:rPr>
                <w:szCs w:val="20"/>
              </w:rPr>
              <w:t>obr</w:t>
            </w:r>
            <w:r w:rsidR="006843FF">
              <w:rPr>
                <w:szCs w:val="20"/>
              </w:rPr>
              <w:t>ę</w:t>
            </w:r>
            <w:r>
              <w:rPr>
                <w:szCs w:val="20"/>
              </w:rPr>
              <w:t xml:space="preserve">b nr 126, </w:t>
            </w:r>
            <w:proofErr w:type="spellStart"/>
            <w:r>
              <w:rPr>
                <w:szCs w:val="20"/>
              </w:rPr>
              <w:t>dz.Nr</w:t>
            </w:r>
            <w:proofErr w:type="spellEnd"/>
            <w:r>
              <w:rPr>
                <w:szCs w:val="20"/>
              </w:rPr>
              <w:t xml:space="preserve"> 175</w:t>
            </w:r>
          </w:p>
        </w:tc>
      </w:tr>
      <w:tr w:rsidR="00EA1C22" w:rsidRPr="002835A8" w14:paraId="06C253E3" w14:textId="77777777" w:rsidTr="000F440E">
        <w:trPr>
          <w:trHeight w:val="98"/>
        </w:trPr>
        <w:tc>
          <w:tcPr>
            <w:tcW w:w="3099" w:type="dxa"/>
            <w:shd w:val="clear" w:color="auto" w:fill="F3F3F3"/>
          </w:tcPr>
          <w:p w14:paraId="39285D48" w14:textId="5EE36C61"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Numer księgi wieczystej </w:t>
            </w:r>
          </w:p>
        </w:tc>
        <w:tc>
          <w:tcPr>
            <w:tcW w:w="6683" w:type="dxa"/>
            <w:gridSpan w:val="2"/>
            <w:shd w:val="clear" w:color="auto" w:fill="auto"/>
          </w:tcPr>
          <w:p w14:paraId="5C8F7682" w14:textId="08CD3B96" w:rsidR="0047655D" w:rsidRPr="0047655D" w:rsidRDefault="00003F83" w:rsidP="00DE5562">
            <w:pPr>
              <w:pStyle w:val="TableParagraph"/>
              <w:rPr>
                <w:szCs w:val="20"/>
              </w:rPr>
            </w:pPr>
            <w:r>
              <w:rPr>
                <w:szCs w:val="20"/>
              </w:rPr>
              <w:t>BY1B/0001977</w:t>
            </w:r>
            <w:r w:rsidR="001E0F0B">
              <w:rPr>
                <w:szCs w:val="20"/>
              </w:rPr>
              <w:t>0</w:t>
            </w:r>
            <w:r>
              <w:rPr>
                <w:szCs w:val="20"/>
              </w:rPr>
              <w:t>/1</w:t>
            </w:r>
          </w:p>
        </w:tc>
      </w:tr>
      <w:tr w:rsidR="00EA1C22" w:rsidRPr="002835A8" w14:paraId="3771BBBF" w14:textId="77777777" w:rsidTr="000F440E">
        <w:trPr>
          <w:trHeight w:val="98"/>
        </w:trPr>
        <w:tc>
          <w:tcPr>
            <w:tcW w:w="3099" w:type="dxa"/>
            <w:shd w:val="clear" w:color="auto" w:fill="F3F3F3"/>
          </w:tcPr>
          <w:p w14:paraId="6818EC33"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lastRenderedPageBreak/>
              <w:t>Istniejące obciążenia hipoteczne nieruchomości lub wnioski o wpis w dziale czwartym księgi wieczystej</w:t>
            </w:r>
          </w:p>
        </w:tc>
        <w:tc>
          <w:tcPr>
            <w:tcW w:w="6683" w:type="dxa"/>
            <w:gridSpan w:val="2"/>
            <w:shd w:val="clear" w:color="auto" w:fill="auto"/>
          </w:tcPr>
          <w:p w14:paraId="57D26411" w14:textId="5B7ED210" w:rsidR="00C16D93" w:rsidRPr="002835A8" w:rsidRDefault="00003F83" w:rsidP="00EA1C22">
            <w:pPr>
              <w:spacing w:beforeLines="60" w:before="144" w:afterLines="60" w:after="144" w:line="240" w:lineRule="auto"/>
              <w:jc w:val="both"/>
              <w:rPr>
                <w:rFonts w:ascii="Times New Roman" w:hAnsi="Times New Roman" w:cs="Times New Roman"/>
                <w:szCs w:val="20"/>
              </w:rPr>
            </w:pPr>
            <w:r>
              <w:rPr>
                <w:rFonts w:ascii="Times New Roman" w:hAnsi="Times New Roman" w:cs="Times New Roman"/>
                <w:szCs w:val="20"/>
              </w:rPr>
              <w:t>Brak</w:t>
            </w:r>
          </w:p>
          <w:p w14:paraId="1F2A5E56" w14:textId="744AF011"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p>
        </w:tc>
      </w:tr>
      <w:tr w:rsidR="00EA1C22" w:rsidRPr="002835A8" w14:paraId="479D988F" w14:textId="77777777" w:rsidTr="000F440E">
        <w:trPr>
          <w:trHeight w:val="97"/>
        </w:trPr>
        <w:tc>
          <w:tcPr>
            <w:tcW w:w="3099" w:type="dxa"/>
            <w:shd w:val="clear" w:color="auto" w:fill="F3F3F3"/>
          </w:tcPr>
          <w:p w14:paraId="213C5233"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W przypadku braku księgi wieczystej informacja o powierzchni działki i stanie prawnym nieruchomości</w:t>
            </w:r>
            <w:r w:rsidRPr="002835A8">
              <w:rPr>
                <w:rFonts w:ascii="Times New Roman" w:eastAsia="Times New Roman" w:hAnsi="Times New Roman" w:cs="Times New Roman"/>
                <w:szCs w:val="20"/>
                <w:vertAlign w:val="superscript"/>
              </w:rPr>
              <w:footnoteReference w:customMarkFollows="1" w:id="3"/>
              <w:t>2)</w:t>
            </w:r>
            <w:r w:rsidRPr="002835A8">
              <w:rPr>
                <w:rFonts w:ascii="Times New Roman" w:eastAsia="Times New Roman" w:hAnsi="Times New Roman" w:cs="Times New Roman"/>
                <w:szCs w:val="20"/>
              </w:rPr>
              <w:t xml:space="preserve"> </w:t>
            </w:r>
          </w:p>
        </w:tc>
        <w:tc>
          <w:tcPr>
            <w:tcW w:w="6683" w:type="dxa"/>
            <w:gridSpan w:val="2"/>
            <w:shd w:val="clear" w:color="auto" w:fill="auto"/>
          </w:tcPr>
          <w:p w14:paraId="24936FCD" w14:textId="77777777" w:rsidR="00D249F3" w:rsidRPr="002835A8" w:rsidRDefault="00D249F3" w:rsidP="00EA1C22">
            <w:pPr>
              <w:spacing w:beforeLines="60" w:before="144" w:afterLines="60" w:after="144" w:line="240" w:lineRule="auto"/>
              <w:jc w:val="both"/>
              <w:rPr>
                <w:rFonts w:ascii="Times New Roman" w:eastAsia="Times New Roman" w:hAnsi="Times New Roman" w:cs="Times New Roman"/>
                <w:szCs w:val="20"/>
              </w:rPr>
            </w:pPr>
          </w:p>
          <w:p w14:paraId="222A30C4" w14:textId="4A88E534" w:rsidR="00EA1C22" w:rsidRPr="002835A8" w:rsidRDefault="00D249F3"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Nie dotyczy</w:t>
            </w:r>
          </w:p>
        </w:tc>
      </w:tr>
      <w:tr w:rsidR="00EA1C22" w:rsidRPr="002835A8" w14:paraId="14763837" w14:textId="77777777" w:rsidTr="000F440E">
        <w:trPr>
          <w:trHeight w:val="97"/>
        </w:trPr>
        <w:tc>
          <w:tcPr>
            <w:tcW w:w="3099" w:type="dxa"/>
            <w:shd w:val="clear" w:color="auto" w:fill="F3F3F3"/>
          </w:tcPr>
          <w:p w14:paraId="081D6592" w14:textId="24969A19" w:rsidR="00EA1C22" w:rsidRPr="005D7087" w:rsidRDefault="00EA1C22" w:rsidP="000F440E">
            <w:pPr>
              <w:spacing w:beforeLines="60" w:before="144" w:afterLines="60" w:after="144" w:line="240" w:lineRule="auto"/>
              <w:rPr>
                <w:rFonts w:ascii="Times New Roman" w:eastAsia="Times New Roman" w:hAnsi="Times New Roman" w:cs="Times New Roman"/>
                <w:szCs w:val="20"/>
              </w:rPr>
            </w:pPr>
            <w:r w:rsidRPr="005D7087">
              <w:rPr>
                <w:rFonts w:ascii="Times New Roman" w:eastAsia="Times New Roman" w:hAnsi="Times New Roman" w:cs="Times New Roman"/>
                <w:szCs w:val="20"/>
              </w:rPr>
              <w:t>Informacje dotyczące obiektów istniejących położonych w sąsiedztwie inwestycji i wpływających na warunki życia</w:t>
            </w:r>
            <w:r w:rsidRPr="005D7087">
              <w:rPr>
                <w:rFonts w:ascii="Times New Roman" w:eastAsia="Times New Roman" w:hAnsi="Times New Roman" w:cs="Times New Roman"/>
                <w:szCs w:val="20"/>
                <w:vertAlign w:val="superscript"/>
              </w:rPr>
              <w:footnoteReference w:customMarkFollows="1" w:id="4"/>
              <w:t>3)</w:t>
            </w:r>
            <w:r w:rsidRPr="005D7087">
              <w:rPr>
                <w:rFonts w:ascii="Times New Roman" w:eastAsia="Times New Roman" w:hAnsi="Times New Roman" w:cs="Times New Roman"/>
                <w:szCs w:val="20"/>
              </w:rPr>
              <w:t xml:space="preserve"> </w:t>
            </w:r>
          </w:p>
        </w:tc>
        <w:tc>
          <w:tcPr>
            <w:tcW w:w="6683" w:type="dxa"/>
            <w:gridSpan w:val="2"/>
            <w:shd w:val="clear" w:color="auto" w:fill="auto"/>
          </w:tcPr>
          <w:p w14:paraId="50AEAF73" w14:textId="4C0AA862" w:rsidR="00312BE3" w:rsidRPr="00C812DD" w:rsidRDefault="00312BE3" w:rsidP="00312BE3">
            <w:pPr>
              <w:pStyle w:val="TableParagraph"/>
              <w:spacing w:line="256" w:lineRule="auto"/>
              <w:jc w:val="both"/>
              <w:rPr>
                <w:sz w:val="20"/>
                <w:szCs w:val="20"/>
              </w:rPr>
            </w:pPr>
            <w:r w:rsidRPr="00C812DD">
              <w:rPr>
                <w:sz w:val="20"/>
                <w:szCs w:val="20"/>
              </w:rPr>
              <w:t>Brak jest informacji o obiektach położonych w sąsiedztwie inwestycji i wpływających na warunki życia. Obiekty potencjalnie wpływające  na warunki życia :</w:t>
            </w:r>
          </w:p>
          <w:p w14:paraId="588DB846" w14:textId="77777777" w:rsidR="00312BE3" w:rsidRPr="00C812DD" w:rsidRDefault="00312BE3" w:rsidP="00312BE3">
            <w:pPr>
              <w:pStyle w:val="TableParagraph"/>
              <w:numPr>
                <w:ilvl w:val="0"/>
                <w:numId w:val="12"/>
              </w:numPr>
              <w:spacing w:line="256" w:lineRule="auto"/>
              <w:jc w:val="both"/>
              <w:rPr>
                <w:sz w:val="20"/>
                <w:szCs w:val="20"/>
              </w:rPr>
            </w:pPr>
            <w:r w:rsidRPr="00C812DD">
              <w:rPr>
                <w:sz w:val="20"/>
                <w:szCs w:val="20"/>
              </w:rPr>
              <w:t>Warsztat samochodowy – ulica Pomorska 90</w:t>
            </w:r>
          </w:p>
          <w:p w14:paraId="4FE34C0A" w14:textId="77777777" w:rsidR="00312BE3" w:rsidRPr="00C812DD" w:rsidRDefault="00312BE3" w:rsidP="00312BE3">
            <w:pPr>
              <w:pStyle w:val="TableParagraph"/>
              <w:numPr>
                <w:ilvl w:val="0"/>
                <w:numId w:val="12"/>
              </w:numPr>
              <w:spacing w:line="256" w:lineRule="auto"/>
              <w:jc w:val="both"/>
              <w:rPr>
                <w:sz w:val="20"/>
                <w:szCs w:val="20"/>
              </w:rPr>
            </w:pPr>
            <w:r w:rsidRPr="00C812DD">
              <w:rPr>
                <w:sz w:val="20"/>
                <w:szCs w:val="20"/>
              </w:rPr>
              <w:t xml:space="preserve">Cmentarz Ewangelicko-Augsburski – ulica </w:t>
            </w:r>
            <w:proofErr w:type="spellStart"/>
            <w:r w:rsidRPr="00C812DD">
              <w:rPr>
                <w:sz w:val="20"/>
                <w:szCs w:val="20"/>
              </w:rPr>
              <w:t>Zaświat</w:t>
            </w:r>
            <w:proofErr w:type="spellEnd"/>
            <w:r w:rsidRPr="00C812DD">
              <w:rPr>
                <w:sz w:val="20"/>
                <w:szCs w:val="20"/>
              </w:rPr>
              <w:t xml:space="preserve"> 6</w:t>
            </w:r>
          </w:p>
          <w:p w14:paraId="5DE90A13" w14:textId="77777777" w:rsidR="00312BE3" w:rsidRPr="00C812DD" w:rsidRDefault="00312BE3" w:rsidP="00312BE3">
            <w:pPr>
              <w:pStyle w:val="TableParagraph"/>
              <w:numPr>
                <w:ilvl w:val="0"/>
                <w:numId w:val="12"/>
              </w:numPr>
              <w:spacing w:line="256" w:lineRule="auto"/>
              <w:jc w:val="both"/>
              <w:rPr>
                <w:sz w:val="20"/>
                <w:szCs w:val="20"/>
              </w:rPr>
            </w:pPr>
            <w:r w:rsidRPr="00C812DD">
              <w:rPr>
                <w:sz w:val="20"/>
                <w:szCs w:val="20"/>
              </w:rPr>
              <w:t>Tory kolejowe pomiędzy ulicą Artyleryjską a powstałą inwestycją</w:t>
            </w:r>
          </w:p>
          <w:p w14:paraId="50347110" w14:textId="094D27C5" w:rsidR="00312BE3" w:rsidRPr="00C812DD" w:rsidRDefault="00312BE3" w:rsidP="00312BE3">
            <w:pPr>
              <w:pStyle w:val="TableParagraph"/>
              <w:numPr>
                <w:ilvl w:val="0"/>
                <w:numId w:val="12"/>
              </w:numPr>
              <w:spacing w:line="256" w:lineRule="auto"/>
              <w:jc w:val="both"/>
              <w:rPr>
                <w:sz w:val="20"/>
                <w:szCs w:val="20"/>
              </w:rPr>
            </w:pPr>
            <w:r w:rsidRPr="00C812DD">
              <w:rPr>
                <w:sz w:val="20"/>
                <w:szCs w:val="20"/>
              </w:rPr>
              <w:t>Dworzec kolejowy</w:t>
            </w:r>
            <w:r w:rsidR="006127C9">
              <w:rPr>
                <w:sz w:val="20"/>
                <w:szCs w:val="20"/>
              </w:rPr>
              <w:t xml:space="preserve"> </w:t>
            </w:r>
            <w:r w:rsidRPr="00C812DD">
              <w:rPr>
                <w:sz w:val="20"/>
                <w:szCs w:val="20"/>
              </w:rPr>
              <w:t>Bydgoszcz Główna -ulica Zygmunta Augusta 7</w:t>
            </w:r>
          </w:p>
          <w:p w14:paraId="06E25DD0" w14:textId="77777777" w:rsidR="00312BE3" w:rsidRPr="00C812DD" w:rsidRDefault="00312BE3" w:rsidP="00312BE3">
            <w:pPr>
              <w:pStyle w:val="TableParagraph"/>
              <w:numPr>
                <w:ilvl w:val="0"/>
                <w:numId w:val="12"/>
              </w:numPr>
              <w:spacing w:line="256" w:lineRule="auto"/>
              <w:jc w:val="both"/>
              <w:rPr>
                <w:sz w:val="20"/>
                <w:szCs w:val="20"/>
              </w:rPr>
            </w:pPr>
            <w:r w:rsidRPr="00C812DD">
              <w:rPr>
                <w:sz w:val="20"/>
                <w:szCs w:val="20"/>
              </w:rPr>
              <w:t xml:space="preserve">Producent pojazdów szynowych – </w:t>
            </w:r>
            <w:proofErr w:type="spellStart"/>
            <w:r w:rsidRPr="00C812DD">
              <w:rPr>
                <w:sz w:val="20"/>
                <w:szCs w:val="20"/>
              </w:rPr>
              <w:t>Pesa</w:t>
            </w:r>
            <w:proofErr w:type="spellEnd"/>
            <w:r w:rsidRPr="00C812DD">
              <w:rPr>
                <w:sz w:val="20"/>
                <w:szCs w:val="20"/>
              </w:rPr>
              <w:t xml:space="preserve"> Bydgoszcz S.A. – ulica Zygmunta Augusta 11</w:t>
            </w:r>
          </w:p>
          <w:p w14:paraId="3535B6BA" w14:textId="77777777" w:rsidR="00312BE3" w:rsidRPr="00C812DD" w:rsidRDefault="00312BE3" w:rsidP="00312BE3">
            <w:pPr>
              <w:pStyle w:val="TableParagraph"/>
              <w:numPr>
                <w:ilvl w:val="0"/>
                <w:numId w:val="12"/>
              </w:numPr>
              <w:tabs>
                <w:tab w:val="num" w:pos="1080"/>
              </w:tabs>
              <w:spacing w:line="256" w:lineRule="auto"/>
              <w:ind w:left="1080" w:hanging="720"/>
              <w:jc w:val="both"/>
              <w:rPr>
                <w:sz w:val="20"/>
                <w:szCs w:val="20"/>
              </w:rPr>
            </w:pPr>
            <w:r w:rsidRPr="00C812DD">
              <w:rPr>
                <w:sz w:val="20"/>
                <w:szCs w:val="20"/>
              </w:rPr>
              <w:t>Ulica klasy głównej ruchu przyspieszonego – ulica Artyleryjska</w:t>
            </w:r>
          </w:p>
          <w:p w14:paraId="6B0E08D8" w14:textId="79E8B87B" w:rsidR="00EA1C22" w:rsidRPr="00741192" w:rsidRDefault="00EA1C22" w:rsidP="00D5742B">
            <w:pPr>
              <w:pStyle w:val="TableParagraph"/>
              <w:ind w:left="167"/>
              <w:jc w:val="both"/>
              <w:rPr>
                <w:szCs w:val="20"/>
              </w:rPr>
            </w:pPr>
          </w:p>
        </w:tc>
      </w:tr>
      <w:tr w:rsidR="00D249F3" w:rsidRPr="002835A8" w14:paraId="57D2F008" w14:textId="77777777" w:rsidTr="000F440E">
        <w:trPr>
          <w:trHeight w:val="645"/>
        </w:trPr>
        <w:tc>
          <w:tcPr>
            <w:tcW w:w="3099" w:type="dxa"/>
            <w:vMerge w:val="restart"/>
            <w:shd w:val="clear" w:color="auto" w:fill="F3F3F3"/>
          </w:tcPr>
          <w:p w14:paraId="16573F45" w14:textId="2EB34DB4" w:rsidR="00D249F3" w:rsidRPr="002835A8" w:rsidRDefault="00D249F3" w:rsidP="00EA1C22">
            <w:pPr>
              <w:spacing w:beforeLines="60" w:before="144" w:afterLines="60" w:after="144" w:line="240" w:lineRule="auto"/>
              <w:jc w:val="both"/>
              <w:rPr>
                <w:rFonts w:ascii="Times New Roman" w:eastAsia="Times New Roman" w:hAnsi="Times New Roman" w:cs="Times New Roman"/>
                <w:szCs w:val="20"/>
                <w:lang w:eastAsia="pl-PL"/>
              </w:rPr>
            </w:pPr>
            <w:r w:rsidRPr="002835A8">
              <w:rPr>
                <w:rFonts w:ascii="Times New Roman" w:eastAsia="Times New Roman" w:hAnsi="Times New Roman" w:cs="Times New Roman"/>
                <w:szCs w:val="20"/>
                <w:lang w:eastAsia="pl-PL"/>
              </w:rPr>
              <w:t>Akty planowania przestrzennego i inne akty prawne na podstawie przepisów odrębnych na terenie objętym przedsięwzięciem deweloperskim lub zadaniem inwestycyjnym</w:t>
            </w:r>
          </w:p>
          <w:p w14:paraId="2C22F0C4" w14:textId="77777777" w:rsidR="00D249F3" w:rsidRPr="002835A8" w:rsidRDefault="00D249F3"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 xml:space="preserve"> </w:t>
            </w:r>
          </w:p>
        </w:tc>
        <w:tc>
          <w:tcPr>
            <w:tcW w:w="3419" w:type="dxa"/>
            <w:shd w:val="clear" w:color="auto" w:fill="auto"/>
          </w:tcPr>
          <w:p w14:paraId="537B599B" w14:textId="4AA41034" w:rsidR="00D249F3" w:rsidRPr="002835A8" w:rsidRDefault="00D249F3"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Plan ogólny gminy</w:t>
            </w:r>
          </w:p>
        </w:tc>
        <w:tc>
          <w:tcPr>
            <w:tcW w:w="3264" w:type="dxa"/>
            <w:vMerge w:val="restart"/>
            <w:shd w:val="clear" w:color="auto" w:fill="auto"/>
          </w:tcPr>
          <w:p w14:paraId="3E29774F" w14:textId="2B189252" w:rsidR="00F80A03" w:rsidRPr="0068537A" w:rsidRDefault="00C0090C" w:rsidP="0068537A">
            <w:pPr>
              <w:pStyle w:val="TableParagraph"/>
              <w:spacing w:before="142"/>
              <w:ind w:right="93"/>
              <w:jc w:val="both"/>
              <w:rPr>
                <w:szCs w:val="20"/>
              </w:rPr>
            </w:pPr>
            <w:r>
              <w:rPr>
                <w:sz w:val="20"/>
              </w:rPr>
              <w:t xml:space="preserve">Miejscowy plan zagospodarowania przestrzennego „Bocianowo- Artyleryjska” </w:t>
            </w:r>
            <w:proofErr w:type="spellStart"/>
            <w:r>
              <w:rPr>
                <w:sz w:val="20"/>
              </w:rPr>
              <w:t>zatw</w:t>
            </w:r>
            <w:proofErr w:type="spellEnd"/>
            <w:r>
              <w:rPr>
                <w:sz w:val="20"/>
              </w:rPr>
              <w:t>. Uchwałą Nr XXI29/715/20 Rady Miejskiej Bydgoszczy z dnia 25 listopada 2020r</w:t>
            </w:r>
          </w:p>
        </w:tc>
      </w:tr>
      <w:tr w:rsidR="00D249F3" w:rsidRPr="002835A8" w14:paraId="6F2D3215" w14:textId="77777777" w:rsidTr="000F440E">
        <w:trPr>
          <w:trHeight w:val="839"/>
        </w:trPr>
        <w:tc>
          <w:tcPr>
            <w:tcW w:w="3099" w:type="dxa"/>
            <w:vMerge/>
            <w:shd w:val="clear" w:color="auto" w:fill="F3F3F3"/>
          </w:tcPr>
          <w:p w14:paraId="2A5D0A27" w14:textId="77777777" w:rsidR="00D249F3" w:rsidRPr="002835A8" w:rsidRDefault="00D249F3" w:rsidP="00EA1C22">
            <w:pPr>
              <w:spacing w:beforeLines="60" w:before="144" w:afterLines="60" w:after="144" w:line="240" w:lineRule="auto"/>
              <w:jc w:val="both"/>
              <w:rPr>
                <w:rFonts w:ascii="Times New Roman" w:eastAsia="Times New Roman" w:hAnsi="Times New Roman" w:cs="Times New Roman"/>
                <w:szCs w:val="20"/>
                <w:lang w:eastAsia="pl-PL"/>
              </w:rPr>
            </w:pPr>
          </w:p>
        </w:tc>
        <w:tc>
          <w:tcPr>
            <w:tcW w:w="3419" w:type="dxa"/>
            <w:shd w:val="clear" w:color="auto" w:fill="auto"/>
          </w:tcPr>
          <w:p w14:paraId="4E5B31FD" w14:textId="77777777" w:rsidR="00D249F3" w:rsidRPr="002835A8" w:rsidRDefault="00D249F3" w:rsidP="00EA1C22">
            <w:pPr>
              <w:spacing w:beforeLines="60" w:before="144" w:afterLines="60" w:after="144" w:line="240" w:lineRule="auto"/>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Miejscowy plan zagospodarowania przestrzennego</w:t>
            </w:r>
          </w:p>
        </w:tc>
        <w:tc>
          <w:tcPr>
            <w:tcW w:w="3264" w:type="dxa"/>
            <w:vMerge/>
            <w:shd w:val="clear" w:color="auto" w:fill="auto"/>
          </w:tcPr>
          <w:p w14:paraId="1B999D1D" w14:textId="77777777" w:rsidR="00D249F3" w:rsidRPr="002835A8" w:rsidRDefault="00D249F3" w:rsidP="00EA1C22">
            <w:pPr>
              <w:spacing w:beforeLines="60" w:before="144" w:afterLines="60" w:after="144" w:line="240" w:lineRule="auto"/>
              <w:jc w:val="both"/>
              <w:rPr>
                <w:rFonts w:ascii="Times New Roman" w:eastAsia="Times New Roman" w:hAnsi="Times New Roman" w:cs="Times New Roman"/>
                <w:szCs w:val="20"/>
              </w:rPr>
            </w:pPr>
          </w:p>
        </w:tc>
      </w:tr>
      <w:tr w:rsidR="00EA1C22" w:rsidRPr="002835A8" w14:paraId="71204D2D" w14:textId="77777777" w:rsidTr="000F440E">
        <w:trPr>
          <w:trHeight w:val="317"/>
        </w:trPr>
        <w:tc>
          <w:tcPr>
            <w:tcW w:w="3099" w:type="dxa"/>
            <w:vMerge/>
            <w:shd w:val="clear" w:color="auto" w:fill="F3F3F3"/>
          </w:tcPr>
          <w:p w14:paraId="3226A4E3"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lang w:eastAsia="pl-PL"/>
              </w:rPr>
            </w:pPr>
          </w:p>
        </w:tc>
        <w:tc>
          <w:tcPr>
            <w:tcW w:w="3419" w:type="dxa"/>
            <w:shd w:val="clear" w:color="auto" w:fill="auto"/>
          </w:tcPr>
          <w:p w14:paraId="0F907036"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 xml:space="preserve">Miejscowy plan odbudowy </w:t>
            </w:r>
          </w:p>
        </w:tc>
        <w:tc>
          <w:tcPr>
            <w:tcW w:w="3264" w:type="dxa"/>
            <w:vMerge/>
            <w:shd w:val="clear" w:color="auto" w:fill="auto"/>
          </w:tcPr>
          <w:p w14:paraId="332D6FA1"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p>
        </w:tc>
      </w:tr>
      <w:tr w:rsidR="00EA1C22" w:rsidRPr="002835A8" w14:paraId="22116D7C" w14:textId="77777777" w:rsidTr="000F440E">
        <w:trPr>
          <w:trHeight w:val="317"/>
        </w:trPr>
        <w:tc>
          <w:tcPr>
            <w:tcW w:w="3099" w:type="dxa"/>
            <w:vMerge/>
            <w:shd w:val="clear" w:color="auto" w:fill="F3F3F3"/>
          </w:tcPr>
          <w:p w14:paraId="7F3DA171"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lang w:eastAsia="pl-PL"/>
              </w:rPr>
            </w:pPr>
          </w:p>
        </w:tc>
        <w:tc>
          <w:tcPr>
            <w:tcW w:w="3419" w:type="dxa"/>
            <w:shd w:val="clear" w:color="auto" w:fill="auto"/>
          </w:tcPr>
          <w:p w14:paraId="7A67740B"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Inne</w:t>
            </w:r>
            <w:r w:rsidRPr="002835A8">
              <w:rPr>
                <w:rFonts w:ascii="Times New Roman" w:eastAsia="Times New Roman" w:hAnsi="Times New Roman" w:cs="Times New Roman"/>
                <w:szCs w:val="20"/>
                <w:vertAlign w:val="superscript"/>
                <w:lang w:eastAsia="pl-PL"/>
              </w:rPr>
              <w:footnoteReference w:customMarkFollows="1" w:id="5"/>
              <w:t>4)</w:t>
            </w:r>
            <w:r w:rsidRPr="002835A8">
              <w:rPr>
                <w:rFonts w:ascii="Times New Roman" w:eastAsia="Times New Roman" w:hAnsi="Times New Roman" w:cs="Times New Roman"/>
                <w:szCs w:val="20"/>
                <w:lang w:eastAsia="pl-PL"/>
              </w:rPr>
              <w:t xml:space="preserve"> </w:t>
            </w:r>
          </w:p>
        </w:tc>
        <w:tc>
          <w:tcPr>
            <w:tcW w:w="3264" w:type="dxa"/>
            <w:vMerge/>
            <w:shd w:val="clear" w:color="auto" w:fill="auto"/>
          </w:tcPr>
          <w:p w14:paraId="6DDBBDE8"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p>
        </w:tc>
      </w:tr>
      <w:tr w:rsidR="00EA1C22" w:rsidRPr="002835A8" w14:paraId="20CE382C" w14:textId="77777777" w:rsidTr="000F440E">
        <w:trPr>
          <w:trHeight w:val="60"/>
        </w:trPr>
        <w:tc>
          <w:tcPr>
            <w:tcW w:w="3099" w:type="dxa"/>
            <w:vMerge w:val="restart"/>
            <w:shd w:val="clear" w:color="auto" w:fill="F3F3F3"/>
          </w:tcPr>
          <w:p w14:paraId="11A1FFCC" w14:textId="2DADD9C8"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 xml:space="preserve">Ustalenia obowiązującego miejscowego planu zagospodarowania przestrzennego dla terenu objętego przedsięwzięciem </w:t>
            </w:r>
            <w:r w:rsidRPr="002835A8">
              <w:rPr>
                <w:rFonts w:ascii="Times New Roman" w:eastAsia="Times New Roman" w:hAnsi="Times New Roman" w:cs="Times New Roman"/>
                <w:szCs w:val="20"/>
                <w:lang w:eastAsia="pl-PL"/>
              </w:rPr>
              <w:lastRenderedPageBreak/>
              <w:t>deweloperskim lub zadaniem inwestycyjnym</w:t>
            </w:r>
            <w:r w:rsidRPr="002835A8">
              <w:rPr>
                <w:rFonts w:ascii="Times New Roman" w:eastAsia="Times New Roman" w:hAnsi="Times New Roman" w:cs="Times New Roman"/>
                <w:szCs w:val="20"/>
              </w:rPr>
              <w:t xml:space="preserve"> </w:t>
            </w:r>
          </w:p>
          <w:p w14:paraId="0EDEEF1B"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1987A8EA"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lastRenderedPageBreak/>
              <w:t>Przeznaczenie terenu</w:t>
            </w:r>
          </w:p>
        </w:tc>
        <w:tc>
          <w:tcPr>
            <w:tcW w:w="3264" w:type="dxa"/>
            <w:shd w:val="clear" w:color="auto" w:fill="auto"/>
          </w:tcPr>
          <w:p w14:paraId="0467E524" w14:textId="0A0B951C" w:rsidR="00EA1C22" w:rsidRPr="002835A8" w:rsidRDefault="00A24AF7" w:rsidP="001C1FF5">
            <w:pPr>
              <w:spacing w:beforeLines="60" w:before="144" w:afterLines="60" w:after="144" w:line="240" w:lineRule="auto"/>
              <w:jc w:val="both"/>
              <w:rPr>
                <w:rFonts w:ascii="Times New Roman" w:eastAsia="Times New Roman" w:hAnsi="Times New Roman" w:cs="Times New Roman"/>
                <w:szCs w:val="20"/>
              </w:rPr>
            </w:pPr>
            <w:r>
              <w:rPr>
                <w:sz w:val="18"/>
              </w:rPr>
              <w:t xml:space="preserve">Teren przewidziany pod inwestycję polegającą na budowie budynku mieszkalnego wielorodzinnego wraz z niezbędną infrastrukturą obejmuje działkę o numerze ewidencyjnym 175 w obrębie nr 126 , jednostka ewidencyjna </w:t>
            </w:r>
            <w:r>
              <w:rPr>
                <w:sz w:val="18"/>
              </w:rPr>
              <w:lastRenderedPageBreak/>
              <w:t>046101-1, Miasto Bydgoszcz. Teren przeznaczony pod inwestycję sklasyfikowany jest jako zurbanizowane tereny niezabudowane, przeznaczone pod zabudowę mieszkaniowa wielorodzinną i usługową</w:t>
            </w:r>
          </w:p>
        </w:tc>
      </w:tr>
      <w:tr w:rsidR="00EA1C22" w:rsidRPr="002835A8" w14:paraId="2F535006" w14:textId="77777777" w:rsidTr="000F440E">
        <w:trPr>
          <w:trHeight w:val="51"/>
        </w:trPr>
        <w:tc>
          <w:tcPr>
            <w:tcW w:w="3099" w:type="dxa"/>
            <w:vMerge/>
            <w:shd w:val="clear" w:color="auto" w:fill="F3F3F3"/>
          </w:tcPr>
          <w:p w14:paraId="224DBC43"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1B3C2CBC" w14:textId="642BFD92"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Maksymalna intensywność zabudowy</w:t>
            </w:r>
          </w:p>
        </w:tc>
        <w:tc>
          <w:tcPr>
            <w:tcW w:w="3264" w:type="dxa"/>
            <w:shd w:val="clear" w:color="auto" w:fill="auto"/>
          </w:tcPr>
          <w:p w14:paraId="6E8CEC54" w14:textId="1AE337AF" w:rsidR="00F80A03" w:rsidRPr="00EA0670" w:rsidRDefault="008D4C7A" w:rsidP="001C1FF5">
            <w:pPr>
              <w:pStyle w:val="TableParagraph"/>
              <w:jc w:val="both"/>
              <w:rPr>
                <w:sz w:val="20"/>
                <w:szCs w:val="20"/>
              </w:rPr>
            </w:pPr>
            <w:r w:rsidRPr="00EA0670">
              <w:rPr>
                <w:sz w:val="20"/>
                <w:szCs w:val="20"/>
              </w:rPr>
              <w:t>Maksymalna intensywność zabudowy 3,5</w:t>
            </w:r>
          </w:p>
        </w:tc>
      </w:tr>
      <w:tr w:rsidR="002E7359" w:rsidRPr="002835A8" w14:paraId="044904CC" w14:textId="77777777" w:rsidTr="000F440E">
        <w:trPr>
          <w:trHeight w:val="51"/>
        </w:trPr>
        <w:tc>
          <w:tcPr>
            <w:tcW w:w="3099" w:type="dxa"/>
            <w:vMerge/>
            <w:shd w:val="clear" w:color="auto" w:fill="F3F3F3"/>
          </w:tcPr>
          <w:p w14:paraId="604250CA"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6B2250CA" w14:textId="5B31E55E"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lang w:eastAsia="pl-PL"/>
              </w:rPr>
            </w:pPr>
            <w:r w:rsidRPr="002835A8">
              <w:rPr>
                <w:rFonts w:ascii="Times New Roman" w:eastAsia="Times New Roman" w:hAnsi="Times New Roman" w:cs="Times New Roman"/>
                <w:szCs w:val="20"/>
                <w:lang w:eastAsia="pl-PL"/>
              </w:rPr>
              <w:t>Maksymalna i minimalna nadziemna intensywność zabudowy</w:t>
            </w:r>
          </w:p>
        </w:tc>
        <w:tc>
          <w:tcPr>
            <w:tcW w:w="3264" w:type="dxa"/>
            <w:shd w:val="clear" w:color="auto" w:fill="auto"/>
          </w:tcPr>
          <w:p w14:paraId="1E823571" w14:textId="2C693E87" w:rsidR="002E7359" w:rsidRPr="00A10318" w:rsidRDefault="008E2987" w:rsidP="002E7359">
            <w:pPr>
              <w:spacing w:beforeLines="60" w:before="144" w:afterLines="60" w:after="144" w:line="240" w:lineRule="auto"/>
              <w:jc w:val="both"/>
              <w:rPr>
                <w:rFonts w:ascii="Times New Roman" w:eastAsia="Times New Roman" w:hAnsi="Times New Roman" w:cs="Times New Roman"/>
                <w:szCs w:val="20"/>
              </w:rPr>
            </w:pPr>
            <w:r w:rsidRPr="00A10318">
              <w:rPr>
                <w:rFonts w:ascii="Times New Roman" w:hAnsi="Times New Roman" w:cs="Times New Roman"/>
                <w:sz w:val="18"/>
              </w:rPr>
              <w:t>Brak informacji w planie</w:t>
            </w:r>
          </w:p>
        </w:tc>
      </w:tr>
      <w:tr w:rsidR="002E7359" w:rsidRPr="002835A8" w14:paraId="6B82F9C1" w14:textId="77777777" w:rsidTr="000F440E">
        <w:trPr>
          <w:trHeight w:val="51"/>
        </w:trPr>
        <w:tc>
          <w:tcPr>
            <w:tcW w:w="3099" w:type="dxa"/>
            <w:vMerge/>
            <w:shd w:val="clear" w:color="auto" w:fill="F3F3F3"/>
          </w:tcPr>
          <w:p w14:paraId="4927A3DD"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10C63C51" w14:textId="15AFFBE2"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lang w:eastAsia="pl-PL"/>
              </w:rPr>
            </w:pPr>
            <w:r w:rsidRPr="002835A8">
              <w:rPr>
                <w:rFonts w:ascii="Times New Roman" w:eastAsia="Times New Roman" w:hAnsi="Times New Roman" w:cs="Times New Roman"/>
                <w:szCs w:val="20"/>
                <w:lang w:eastAsia="pl-PL"/>
              </w:rPr>
              <w:t>Maksymalna powierzchnia zabudowy</w:t>
            </w:r>
          </w:p>
        </w:tc>
        <w:tc>
          <w:tcPr>
            <w:tcW w:w="3264" w:type="dxa"/>
            <w:shd w:val="clear" w:color="auto" w:fill="auto"/>
          </w:tcPr>
          <w:p w14:paraId="2004998A" w14:textId="5598E179" w:rsidR="002E7359" w:rsidRPr="00D95AA9" w:rsidRDefault="00A02ABA" w:rsidP="002E7359">
            <w:pPr>
              <w:spacing w:beforeLines="60" w:before="144" w:afterLines="60" w:after="144" w:line="240" w:lineRule="auto"/>
              <w:jc w:val="both"/>
              <w:rPr>
                <w:rFonts w:ascii="Times New Roman" w:eastAsia="Times New Roman" w:hAnsi="Times New Roman" w:cs="Times New Roman"/>
                <w:sz w:val="20"/>
                <w:szCs w:val="20"/>
              </w:rPr>
            </w:pPr>
            <w:r w:rsidRPr="00D95AA9">
              <w:rPr>
                <w:rFonts w:ascii="Times New Roman" w:eastAsia="Times New Roman" w:hAnsi="Times New Roman" w:cs="Times New Roman"/>
                <w:sz w:val="20"/>
                <w:szCs w:val="20"/>
              </w:rPr>
              <w:t>maksymalna powierzchnia zabudowy w stosunku do powierzchni działki lub terenu – 70%;</w:t>
            </w:r>
          </w:p>
        </w:tc>
      </w:tr>
      <w:tr w:rsidR="002E7359" w:rsidRPr="002835A8" w14:paraId="5150E5D6" w14:textId="77777777" w:rsidTr="000F440E">
        <w:trPr>
          <w:trHeight w:val="51"/>
        </w:trPr>
        <w:tc>
          <w:tcPr>
            <w:tcW w:w="3099" w:type="dxa"/>
            <w:vMerge/>
            <w:shd w:val="clear" w:color="auto" w:fill="F3F3F3"/>
          </w:tcPr>
          <w:p w14:paraId="2A31B33F"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4FB65326"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Maksymalna wysokość zabudowy</w:t>
            </w:r>
          </w:p>
        </w:tc>
        <w:tc>
          <w:tcPr>
            <w:tcW w:w="3264" w:type="dxa"/>
            <w:shd w:val="clear" w:color="auto" w:fill="auto"/>
          </w:tcPr>
          <w:p w14:paraId="20A0BBCA" w14:textId="0C5532A0" w:rsidR="002E7359" w:rsidRPr="00172515" w:rsidRDefault="00A02ABA" w:rsidP="002E7359">
            <w:pPr>
              <w:spacing w:beforeLines="60" w:before="144" w:afterLines="60" w:after="144" w:line="240" w:lineRule="auto"/>
              <w:jc w:val="both"/>
              <w:rPr>
                <w:rFonts w:ascii="Times New Roman" w:eastAsia="Times New Roman" w:hAnsi="Times New Roman" w:cs="Times New Roman"/>
                <w:sz w:val="20"/>
                <w:szCs w:val="20"/>
              </w:rPr>
            </w:pPr>
            <w:r w:rsidRPr="00172515">
              <w:rPr>
                <w:rFonts w:ascii="Times New Roman" w:eastAsia="Times New Roman" w:hAnsi="Times New Roman" w:cs="Times New Roman"/>
                <w:sz w:val="20"/>
                <w:szCs w:val="20"/>
              </w:rPr>
              <w:t>16 m</w:t>
            </w:r>
          </w:p>
        </w:tc>
      </w:tr>
      <w:tr w:rsidR="002E7359" w:rsidRPr="002835A8" w14:paraId="67346658" w14:textId="77777777" w:rsidTr="000F440E">
        <w:trPr>
          <w:trHeight w:val="51"/>
        </w:trPr>
        <w:tc>
          <w:tcPr>
            <w:tcW w:w="3099" w:type="dxa"/>
            <w:vMerge/>
            <w:shd w:val="clear" w:color="auto" w:fill="F3F3F3"/>
          </w:tcPr>
          <w:p w14:paraId="278E1816"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113ED990"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Minimalny udział procentowy powierzchni biologicznie czynnej</w:t>
            </w:r>
          </w:p>
        </w:tc>
        <w:tc>
          <w:tcPr>
            <w:tcW w:w="3264" w:type="dxa"/>
            <w:shd w:val="clear" w:color="auto" w:fill="auto"/>
          </w:tcPr>
          <w:p w14:paraId="332D2D6C" w14:textId="1BD869CE" w:rsidR="002E7359" w:rsidRPr="00A10318" w:rsidRDefault="0080292F" w:rsidP="002E7359">
            <w:pPr>
              <w:spacing w:beforeLines="60" w:before="144" w:afterLines="60" w:after="144" w:line="240" w:lineRule="auto"/>
              <w:jc w:val="both"/>
              <w:rPr>
                <w:rFonts w:ascii="Times New Roman" w:eastAsia="Times New Roman" w:hAnsi="Times New Roman" w:cs="Times New Roman"/>
                <w:sz w:val="20"/>
                <w:szCs w:val="20"/>
              </w:rPr>
            </w:pPr>
            <w:r w:rsidRPr="00A10318">
              <w:rPr>
                <w:rFonts w:ascii="Times New Roman" w:hAnsi="Times New Roman" w:cs="Times New Roman"/>
                <w:sz w:val="20"/>
                <w:szCs w:val="20"/>
              </w:rPr>
              <w:t>minimalny udział powierzchni biologicznie czynnej w stosunku do powierzchni działki budowlanej – 25%;</w:t>
            </w:r>
          </w:p>
        </w:tc>
      </w:tr>
      <w:tr w:rsidR="002E7359" w:rsidRPr="002835A8" w14:paraId="033DF93F" w14:textId="77777777" w:rsidTr="000F440E">
        <w:trPr>
          <w:trHeight w:val="51"/>
        </w:trPr>
        <w:tc>
          <w:tcPr>
            <w:tcW w:w="3099" w:type="dxa"/>
            <w:vMerge/>
            <w:shd w:val="clear" w:color="auto" w:fill="F3F3F3"/>
          </w:tcPr>
          <w:p w14:paraId="60471D33"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23382890"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Minimalna liczba miejsc do parkowania</w:t>
            </w:r>
          </w:p>
        </w:tc>
        <w:tc>
          <w:tcPr>
            <w:tcW w:w="3264" w:type="dxa"/>
            <w:shd w:val="clear" w:color="auto" w:fill="auto"/>
          </w:tcPr>
          <w:p w14:paraId="3C78D988" w14:textId="7FB6DECD" w:rsidR="002E7359" w:rsidRPr="00A10318" w:rsidRDefault="00F80A02" w:rsidP="002E7359">
            <w:pPr>
              <w:pStyle w:val="TableParagraph"/>
              <w:jc w:val="both"/>
              <w:rPr>
                <w:highlight w:val="yellow"/>
              </w:rPr>
            </w:pPr>
            <w:r w:rsidRPr="00A10318">
              <w:rPr>
                <w:sz w:val="20"/>
                <w:szCs w:val="20"/>
              </w:rPr>
              <w:t>0,7 miejsca parkingowego na 1 mieszkanie</w:t>
            </w:r>
          </w:p>
        </w:tc>
      </w:tr>
      <w:tr w:rsidR="002E7359" w:rsidRPr="002835A8" w14:paraId="5E7BFD04" w14:textId="77777777" w:rsidTr="000F440E">
        <w:trPr>
          <w:trHeight w:val="51"/>
        </w:trPr>
        <w:tc>
          <w:tcPr>
            <w:tcW w:w="3099" w:type="dxa"/>
            <w:vMerge/>
            <w:shd w:val="clear" w:color="auto" w:fill="F3F3F3"/>
          </w:tcPr>
          <w:p w14:paraId="7B8F9A42"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4F1DD4E8"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Warunki ochrony środowiska i zdrowia ludzi, przyrody i krajobrazu</w:t>
            </w:r>
          </w:p>
        </w:tc>
        <w:tc>
          <w:tcPr>
            <w:tcW w:w="3264" w:type="dxa"/>
            <w:shd w:val="clear" w:color="auto" w:fill="auto"/>
          </w:tcPr>
          <w:p w14:paraId="54E227C1" w14:textId="77777777" w:rsidR="002E7359" w:rsidRPr="00A10318" w:rsidRDefault="002E7359" w:rsidP="002E7359">
            <w:pPr>
              <w:pStyle w:val="TableParagraph"/>
              <w:jc w:val="both"/>
              <w:rPr>
                <w:highlight w:val="yellow"/>
              </w:rPr>
            </w:pPr>
          </w:p>
          <w:p w14:paraId="467DADA9" w14:textId="3D5559AB" w:rsidR="002E7359" w:rsidRPr="00A10318" w:rsidRDefault="00AB3C72" w:rsidP="002E7359">
            <w:pPr>
              <w:pStyle w:val="TableParagraph"/>
              <w:jc w:val="both"/>
              <w:rPr>
                <w:highlight w:val="yellow"/>
              </w:rPr>
            </w:pPr>
            <w:r w:rsidRPr="00A10318">
              <w:rPr>
                <w:sz w:val="18"/>
              </w:rPr>
              <w:t>Obowiązuje zakaz lokalizacji przedsięwzięć mogących zawsze i potencjalnie znacząco oddziaływać na środowisko w rozumieniu przepisów odrębnych z zakresu ochrony środowiska , z wyłączeniem lokalizacji inwestycji celu publicznego oraz inwestycji zgodnych z przeznaczeniem terenów określonym w planie , w tym zabudowy mieszkaniowej wraz z towarzyszącą infrastrukturą</w:t>
            </w:r>
          </w:p>
        </w:tc>
      </w:tr>
      <w:tr w:rsidR="002E7359" w:rsidRPr="002835A8" w14:paraId="00500F60" w14:textId="77777777" w:rsidTr="000F440E">
        <w:trPr>
          <w:trHeight w:val="51"/>
        </w:trPr>
        <w:tc>
          <w:tcPr>
            <w:tcW w:w="3099" w:type="dxa"/>
            <w:vMerge/>
            <w:shd w:val="clear" w:color="auto" w:fill="F3F3F3"/>
          </w:tcPr>
          <w:p w14:paraId="55A66D60"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6CBEDD6E"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Wymagania dotyczące zabudowy i zagospodarowania terenu położonego na obszarach szczególnego zagrożenia powodzią</w:t>
            </w:r>
          </w:p>
        </w:tc>
        <w:tc>
          <w:tcPr>
            <w:tcW w:w="3264" w:type="dxa"/>
            <w:shd w:val="clear" w:color="auto" w:fill="auto"/>
          </w:tcPr>
          <w:p w14:paraId="7141B1D4" w14:textId="6F7F8F9B" w:rsidR="002E7359" w:rsidRPr="00A10318" w:rsidRDefault="00AB3C72" w:rsidP="002E7359">
            <w:pPr>
              <w:spacing w:beforeLines="60" w:before="144" w:afterLines="60" w:after="144" w:line="240" w:lineRule="auto"/>
              <w:jc w:val="both"/>
              <w:rPr>
                <w:rFonts w:ascii="Times New Roman" w:eastAsia="Times New Roman" w:hAnsi="Times New Roman" w:cs="Times New Roman"/>
                <w:szCs w:val="20"/>
              </w:rPr>
            </w:pPr>
            <w:r w:rsidRPr="00A10318">
              <w:rPr>
                <w:rFonts w:ascii="Times New Roman" w:hAnsi="Times New Roman" w:cs="Times New Roman"/>
                <w:sz w:val="18"/>
              </w:rPr>
              <w:t>Obszar objęty planem położony jest poza obszarem szczególnego zagrożenia powodzią</w:t>
            </w:r>
          </w:p>
        </w:tc>
      </w:tr>
      <w:tr w:rsidR="002E7359" w:rsidRPr="002835A8" w14:paraId="459B3DCD" w14:textId="77777777" w:rsidTr="000F440E">
        <w:trPr>
          <w:trHeight w:val="51"/>
        </w:trPr>
        <w:tc>
          <w:tcPr>
            <w:tcW w:w="3099" w:type="dxa"/>
            <w:vMerge/>
            <w:shd w:val="clear" w:color="auto" w:fill="F3F3F3"/>
          </w:tcPr>
          <w:p w14:paraId="1A6A8502"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037D5AE0"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Warunki ochrony dziedzictwa kulturowego i zabytków oraz dóbr kultury współczesnej</w:t>
            </w:r>
          </w:p>
        </w:tc>
        <w:tc>
          <w:tcPr>
            <w:tcW w:w="3264" w:type="dxa"/>
            <w:shd w:val="clear" w:color="auto" w:fill="auto"/>
          </w:tcPr>
          <w:p w14:paraId="7B13E73E" w14:textId="5B822753" w:rsidR="00AB3C72" w:rsidRPr="00C60006" w:rsidRDefault="002373CA" w:rsidP="00AB3C72">
            <w:pPr>
              <w:pStyle w:val="Default"/>
              <w:rPr>
                <w:sz w:val="20"/>
                <w:szCs w:val="20"/>
              </w:rPr>
            </w:pPr>
            <w:r>
              <w:rPr>
                <w:sz w:val="20"/>
                <w:szCs w:val="20"/>
              </w:rPr>
              <w:t>Inwestycja położona jest poza ścisła strefą ochrony konserwatorskiej,</w:t>
            </w:r>
            <w:r w:rsidR="00477E6C">
              <w:rPr>
                <w:sz w:val="20"/>
                <w:szCs w:val="20"/>
              </w:rPr>
              <w:t xml:space="preserve"> </w:t>
            </w:r>
            <w:r>
              <w:rPr>
                <w:sz w:val="20"/>
                <w:szCs w:val="20"/>
              </w:rPr>
              <w:t>obiekty nie są wpisane do rejestru zabytków i gminnej ewidencji zabytków</w:t>
            </w:r>
          </w:p>
        </w:tc>
      </w:tr>
      <w:tr w:rsidR="002E7359" w:rsidRPr="002835A8" w14:paraId="15F47B5B" w14:textId="77777777" w:rsidTr="000F440E">
        <w:trPr>
          <w:trHeight w:val="51"/>
        </w:trPr>
        <w:tc>
          <w:tcPr>
            <w:tcW w:w="3099" w:type="dxa"/>
            <w:vMerge/>
            <w:shd w:val="clear" w:color="auto" w:fill="F3F3F3"/>
          </w:tcPr>
          <w:p w14:paraId="6F9EAC53"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3545D79A" w14:textId="77777777" w:rsidR="002E7359" w:rsidRPr="0068537A" w:rsidRDefault="002E7359" w:rsidP="002E7359">
            <w:pPr>
              <w:spacing w:beforeLines="60" w:before="144" w:afterLines="60" w:after="144" w:line="240" w:lineRule="auto"/>
              <w:jc w:val="both"/>
              <w:rPr>
                <w:rFonts w:ascii="Times New Roman" w:eastAsia="Times New Roman" w:hAnsi="Times New Roman" w:cs="Times New Roman"/>
                <w:szCs w:val="20"/>
              </w:rPr>
            </w:pPr>
            <w:r w:rsidRPr="0068537A">
              <w:rPr>
                <w:rFonts w:ascii="Times New Roman" w:eastAsia="Times New Roman" w:hAnsi="Times New Roman" w:cs="Times New Roman"/>
                <w:szCs w:val="20"/>
                <w:lang w:eastAsia="pl-PL"/>
              </w:rPr>
              <w:t>Wymagania dotyczące ochrony innych terenów lub obiektów podlegających ochronie na podstawie przepisów odrębnych</w:t>
            </w:r>
          </w:p>
        </w:tc>
        <w:tc>
          <w:tcPr>
            <w:tcW w:w="3264" w:type="dxa"/>
            <w:shd w:val="clear" w:color="auto" w:fill="auto"/>
          </w:tcPr>
          <w:p w14:paraId="696A9CA3" w14:textId="77777777" w:rsidR="00996793" w:rsidRPr="00C60006" w:rsidRDefault="00996793" w:rsidP="00996793">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 w granicach terenu objętego planem nie występują tereny górnicze oraz obszary zagrożenia osuwaniem się mas ziemnych, obszar objęty planem położony jest poza obszarem </w:t>
            </w:r>
            <w:r w:rsidRPr="00C60006">
              <w:rPr>
                <w:rFonts w:ascii="Times New Roman" w:eastAsia="Times New Roman" w:hAnsi="Times New Roman" w:cs="Times New Roman"/>
                <w:sz w:val="20"/>
                <w:szCs w:val="20"/>
              </w:rPr>
              <w:lastRenderedPageBreak/>
              <w:t xml:space="preserve">szczególnego zagrożenia powodzią, nie określa się krajobrazów priorytetowych określonych w audycie krajobrazowym oraz w planach zagospodarowania województwa ze względu na brak audytu krajobrazowego oraz nie wyznaczenie takiego krajobrazu w planach zagospodarowania województwa, obszar objęty planem położony jest w granicach Głównego Zbiornika Wód Podziemnych nr 140 pn. </w:t>
            </w:r>
            <w:proofErr w:type="spellStart"/>
            <w:r w:rsidRPr="00C60006">
              <w:rPr>
                <w:rFonts w:ascii="Times New Roman" w:eastAsia="Times New Roman" w:hAnsi="Times New Roman" w:cs="Times New Roman"/>
                <w:sz w:val="20"/>
                <w:szCs w:val="20"/>
              </w:rPr>
              <w:t>Subzbiornik</w:t>
            </w:r>
            <w:proofErr w:type="spellEnd"/>
            <w:r w:rsidRPr="00C60006">
              <w:rPr>
                <w:rFonts w:ascii="Times New Roman" w:eastAsia="Times New Roman" w:hAnsi="Times New Roman" w:cs="Times New Roman"/>
                <w:sz w:val="20"/>
                <w:szCs w:val="20"/>
              </w:rPr>
              <w:t xml:space="preserve"> Bydgoszcz;</w:t>
            </w:r>
          </w:p>
          <w:p w14:paraId="536CF4B4" w14:textId="66F00CD2" w:rsidR="002E7359" w:rsidRPr="00C60006" w:rsidRDefault="002E7359" w:rsidP="002E7359">
            <w:pPr>
              <w:pStyle w:val="TableParagraph"/>
              <w:jc w:val="both"/>
              <w:rPr>
                <w:sz w:val="20"/>
                <w:szCs w:val="20"/>
                <w:highlight w:val="yellow"/>
              </w:rPr>
            </w:pPr>
          </w:p>
        </w:tc>
      </w:tr>
      <w:tr w:rsidR="002E7359" w:rsidRPr="002835A8" w14:paraId="6250A829" w14:textId="77777777" w:rsidTr="000F440E">
        <w:trPr>
          <w:trHeight w:val="51"/>
        </w:trPr>
        <w:tc>
          <w:tcPr>
            <w:tcW w:w="3099" w:type="dxa"/>
            <w:vMerge/>
            <w:shd w:val="clear" w:color="auto" w:fill="F3F3F3"/>
          </w:tcPr>
          <w:p w14:paraId="5F2CFCFE" w14:textId="0B37E25F"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5BF2792F"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Warunki i szczegółowe zasady obsługi w zakresie komunikacji</w:t>
            </w:r>
          </w:p>
        </w:tc>
        <w:tc>
          <w:tcPr>
            <w:tcW w:w="3264" w:type="dxa"/>
            <w:shd w:val="clear" w:color="auto" w:fill="auto"/>
          </w:tcPr>
          <w:p w14:paraId="26F73E65" w14:textId="27A08BF4" w:rsidR="002E7359" w:rsidRDefault="00950A85" w:rsidP="002E7359">
            <w:pPr>
              <w:pStyle w:val="TableParagraph"/>
              <w:jc w:val="both"/>
              <w:rPr>
                <w:sz w:val="20"/>
                <w:szCs w:val="20"/>
              </w:rPr>
            </w:pPr>
            <w:r>
              <w:rPr>
                <w:sz w:val="20"/>
                <w:szCs w:val="20"/>
              </w:rPr>
              <w:t>Dostęp do drogi publicznej Kościuszki, obsługa komunikacyjna z ul.</w:t>
            </w:r>
            <w:r w:rsidR="00937B7E">
              <w:rPr>
                <w:sz w:val="20"/>
                <w:szCs w:val="20"/>
              </w:rPr>
              <w:t xml:space="preserve"> </w:t>
            </w:r>
            <w:r>
              <w:rPr>
                <w:sz w:val="20"/>
                <w:szCs w:val="20"/>
              </w:rPr>
              <w:t xml:space="preserve">Kościuszki w uzgodnieniu z </w:t>
            </w:r>
            <w:proofErr w:type="spellStart"/>
            <w:r>
              <w:rPr>
                <w:sz w:val="20"/>
                <w:szCs w:val="20"/>
              </w:rPr>
              <w:t>ZDMiKP</w:t>
            </w:r>
            <w:proofErr w:type="spellEnd"/>
            <w:r>
              <w:rPr>
                <w:sz w:val="20"/>
                <w:szCs w:val="20"/>
              </w:rPr>
              <w:t>,</w:t>
            </w:r>
            <w:r w:rsidR="00937B7E">
              <w:rPr>
                <w:sz w:val="20"/>
                <w:szCs w:val="20"/>
              </w:rPr>
              <w:t xml:space="preserve"> </w:t>
            </w:r>
            <w:r>
              <w:rPr>
                <w:sz w:val="20"/>
                <w:szCs w:val="20"/>
              </w:rPr>
              <w:t xml:space="preserve">miejsca parkingowe 0,7 </w:t>
            </w:r>
            <w:proofErr w:type="spellStart"/>
            <w:r>
              <w:rPr>
                <w:sz w:val="20"/>
                <w:szCs w:val="20"/>
              </w:rPr>
              <w:t>m.p</w:t>
            </w:r>
            <w:proofErr w:type="spellEnd"/>
            <w:r>
              <w:rPr>
                <w:sz w:val="20"/>
                <w:szCs w:val="20"/>
              </w:rPr>
              <w:t xml:space="preserve"> na 1 mieszkanie</w:t>
            </w:r>
          </w:p>
          <w:p w14:paraId="001FE2E9" w14:textId="6A9C977E" w:rsidR="00950A85" w:rsidRPr="00C60006" w:rsidRDefault="00950A85" w:rsidP="002E7359">
            <w:pPr>
              <w:pStyle w:val="TableParagraph"/>
              <w:jc w:val="both"/>
              <w:rPr>
                <w:sz w:val="20"/>
                <w:szCs w:val="20"/>
              </w:rPr>
            </w:pPr>
          </w:p>
        </w:tc>
      </w:tr>
      <w:tr w:rsidR="002E7359" w:rsidRPr="002835A8" w14:paraId="0AAB526C" w14:textId="77777777" w:rsidTr="000F440E">
        <w:trPr>
          <w:trHeight w:val="51"/>
        </w:trPr>
        <w:tc>
          <w:tcPr>
            <w:tcW w:w="3099" w:type="dxa"/>
            <w:vMerge/>
            <w:shd w:val="clear" w:color="auto" w:fill="F3F3F3"/>
          </w:tcPr>
          <w:p w14:paraId="4B500A7B"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58AEF3E3"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Warunki i szczegółowe zasady obsługi w zakresie infrastruktury technicznej</w:t>
            </w:r>
          </w:p>
        </w:tc>
        <w:tc>
          <w:tcPr>
            <w:tcW w:w="3264" w:type="dxa"/>
            <w:shd w:val="clear" w:color="auto" w:fill="auto"/>
          </w:tcPr>
          <w:p w14:paraId="738DE708" w14:textId="77777777" w:rsidR="00D6636F" w:rsidRPr="00C60006" w:rsidRDefault="00D6636F" w:rsidP="00D6636F">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System infrastruktury technicznej tworzą istniejące i projektowane przewody i urządzenia uzbrojenia terenu; wymagane powiązanie istniejących i projektowanych sieci uzbrojenia terenu z układem zewnętrznym; nowe i rozbudowywane sieci uzbrojenia terenu należy lokalizować w granicach terenów przeznaczonych w planie pod drogi lub infrastrukturę techniczną, a gdy nie jest to możliwe ze względów technicznych, dopuszcza się ich usytuowanie w granicach terenów o innym przeznaczeniu; ustala się utrzymanie oraz rozbudowy, przebudowy i remonty istniejących przewodów i urządzeń uzbrojenia terenu, w tym niezwiązanych bezpośrednio z obsługą terenu.</w:t>
            </w:r>
          </w:p>
          <w:p w14:paraId="25E5206F" w14:textId="763603F4" w:rsidR="00D6636F" w:rsidRPr="00C60006" w:rsidRDefault="00D6636F" w:rsidP="00D6636F">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Zaopatrzenie w wodę poprzez system zbiorczej sieci wodociągowej</w:t>
            </w:r>
            <w:r w:rsidR="00DD68D5">
              <w:rPr>
                <w:rFonts w:ascii="Times New Roman" w:eastAsia="Times New Roman" w:hAnsi="Times New Roman" w:cs="Times New Roman"/>
                <w:sz w:val="20"/>
                <w:szCs w:val="20"/>
              </w:rPr>
              <w:t>.</w:t>
            </w:r>
          </w:p>
          <w:p w14:paraId="621A05FC" w14:textId="412029FA" w:rsidR="00D6636F" w:rsidRPr="00C60006" w:rsidRDefault="00D6636F" w:rsidP="00D6636F">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Odprowadzenie</w:t>
            </w:r>
            <w:r w:rsidR="00DD68D5">
              <w:rPr>
                <w:rFonts w:ascii="Times New Roman" w:eastAsia="Times New Roman" w:hAnsi="Times New Roman" w:cs="Times New Roman"/>
                <w:sz w:val="20"/>
                <w:szCs w:val="20"/>
              </w:rPr>
              <w:t xml:space="preserve"> </w:t>
            </w:r>
            <w:r w:rsidRPr="00C60006">
              <w:rPr>
                <w:rFonts w:ascii="Times New Roman" w:eastAsia="Times New Roman" w:hAnsi="Times New Roman" w:cs="Times New Roman"/>
                <w:sz w:val="20"/>
                <w:szCs w:val="20"/>
              </w:rPr>
              <w:t xml:space="preserve">ścieków komunalnych </w:t>
            </w:r>
            <w:r w:rsidR="00F74466">
              <w:rPr>
                <w:rFonts w:ascii="Times New Roman" w:eastAsia="Times New Roman" w:hAnsi="Times New Roman" w:cs="Times New Roman"/>
                <w:sz w:val="20"/>
                <w:szCs w:val="20"/>
              </w:rPr>
              <w:t xml:space="preserve"> na warunkach gestora sieci.</w:t>
            </w:r>
          </w:p>
          <w:p w14:paraId="0511DC68" w14:textId="18F5E994" w:rsidR="00D6636F" w:rsidRPr="00C60006" w:rsidRDefault="00D6636F" w:rsidP="00D6636F">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lastRenderedPageBreak/>
              <w:t xml:space="preserve">Zaopatrzenie w ciepło poprzez zbiorczy system sieci ciepłowniczych z miejskiej sieci ciepłowniczej; </w:t>
            </w:r>
          </w:p>
          <w:p w14:paraId="19412DC4" w14:textId="09F73AAF" w:rsidR="00D6636F" w:rsidRPr="00C60006" w:rsidRDefault="00D6636F" w:rsidP="00D6636F">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Zaopatrzenie w energię elektryczną poprzez przewody i urządzenia przedsiębiorstwa energetycznego;.  </w:t>
            </w:r>
          </w:p>
          <w:p w14:paraId="4ACF382F" w14:textId="74858394" w:rsidR="002E7359" w:rsidRPr="00C60006" w:rsidRDefault="00D6636F" w:rsidP="00D6636F">
            <w:pPr>
              <w:pStyle w:val="TableParagraph"/>
              <w:jc w:val="both"/>
              <w:rPr>
                <w:sz w:val="20"/>
                <w:szCs w:val="20"/>
                <w:highlight w:val="yellow"/>
              </w:rPr>
            </w:pPr>
            <w:r w:rsidRPr="00C60006">
              <w:rPr>
                <w:sz w:val="20"/>
                <w:szCs w:val="20"/>
              </w:rPr>
              <w:t>Podłączenie do linii i urządzeń sieci telekomunikacji poprzez istniejącą lub projektowaną sieć teletechniczną; nowe, rozbudowywane i wymieniane linie telekomunikacyjne i internetowe, należy realizować jako przewody podziemne; zakaz budowy nowych i rozbudowy istniejących linii nadziemnych, z wyłączeniem budowy nadziemnych przyłączy abonenckich prowadzących do istniejących linii nadziemnych, a także z wyłączeniem remontów istniejących nadziemnych linii i przyłączy abonenckich.</w:t>
            </w:r>
          </w:p>
        </w:tc>
      </w:tr>
      <w:tr w:rsidR="002E7359" w:rsidRPr="002835A8" w14:paraId="7A5033C8" w14:textId="77777777" w:rsidTr="000F440E">
        <w:trPr>
          <w:trHeight w:val="288"/>
        </w:trPr>
        <w:tc>
          <w:tcPr>
            <w:tcW w:w="3099" w:type="dxa"/>
            <w:vMerge w:val="restart"/>
            <w:shd w:val="clear" w:color="auto" w:fill="F3F3F3"/>
          </w:tcPr>
          <w:p w14:paraId="47C6D938" w14:textId="706BCCF1"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lastRenderedPageBreak/>
              <w:t>Ustalenia obowiązującego miejscowego planu zagospodarowania przestrzennego dla działek lub ich fragmentów, znajdujących się w odległości do 100 m od granicy terenu objętego przedsięwzięciem deweloperskim lub zadaniem inwestycyjnym</w:t>
            </w:r>
            <w:r w:rsidRPr="002835A8">
              <w:rPr>
                <w:rFonts w:ascii="Times New Roman" w:eastAsia="Times New Roman" w:hAnsi="Times New Roman" w:cs="Times New Roman"/>
                <w:szCs w:val="20"/>
                <w:vertAlign w:val="superscript"/>
              </w:rPr>
              <w:footnoteReference w:customMarkFollows="1" w:id="6"/>
              <w:t>5)</w:t>
            </w:r>
          </w:p>
        </w:tc>
        <w:tc>
          <w:tcPr>
            <w:tcW w:w="3419" w:type="dxa"/>
            <w:shd w:val="clear" w:color="auto" w:fill="auto"/>
          </w:tcPr>
          <w:p w14:paraId="3288265E"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Przeznaczenie terenu</w:t>
            </w:r>
          </w:p>
        </w:tc>
        <w:tc>
          <w:tcPr>
            <w:tcW w:w="3264" w:type="dxa"/>
            <w:shd w:val="clear" w:color="auto" w:fill="auto"/>
          </w:tcPr>
          <w:p w14:paraId="632F06DD" w14:textId="522620E4" w:rsidR="00DA5041" w:rsidRDefault="00DA5041" w:rsidP="00DA5041">
            <w:pPr>
              <w:spacing w:beforeLines="60" w:before="144" w:afterLines="60" w:after="144" w:line="276" w:lineRule="auto"/>
              <w:jc w:val="both"/>
              <w:rPr>
                <w:rFonts w:eastAsia="Times New Roman" w:cstheme="minorHAnsi"/>
                <w:sz w:val="20"/>
                <w:szCs w:val="20"/>
              </w:rPr>
            </w:pPr>
            <w:r w:rsidRPr="00C60006">
              <w:rPr>
                <w:rFonts w:ascii="Times New Roman" w:eastAsia="Times New Roman" w:hAnsi="Times New Roman" w:cs="Times New Roman"/>
                <w:sz w:val="20"/>
                <w:szCs w:val="20"/>
              </w:rPr>
              <w:t>teren zabudowy mieszkaniowej wielorodzinnej, zabudowy usługowej</w:t>
            </w:r>
            <w:r>
              <w:rPr>
                <w:rFonts w:eastAsia="Times New Roman" w:cstheme="minorHAnsi"/>
                <w:sz w:val="20"/>
                <w:szCs w:val="20"/>
              </w:rPr>
              <w:t>,</w:t>
            </w:r>
          </w:p>
          <w:p w14:paraId="2C34A2A4" w14:textId="3F4A159A" w:rsidR="002E7359" w:rsidRPr="002835A8" w:rsidRDefault="002E7359" w:rsidP="002E7359">
            <w:pPr>
              <w:pStyle w:val="TableParagraph"/>
              <w:jc w:val="both"/>
              <w:rPr>
                <w:rFonts w:ascii="TimesNewRomanPSMT" w:hAnsi="TimesNewRomanPSMT" w:cs="TimesNewRomanPSMT"/>
                <w:szCs w:val="20"/>
              </w:rPr>
            </w:pPr>
          </w:p>
        </w:tc>
      </w:tr>
      <w:tr w:rsidR="002E7359" w:rsidRPr="002835A8" w14:paraId="2AE11F40" w14:textId="77777777" w:rsidTr="000F440E">
        <w:trPr>
          <w:trHeight w:val="288"/>
        </w:trPr>
        <w:tc>
          <w:tcPr>
            <w:tcW w:w="3099" w:type="dxa"/>
            <w:vMerge/>
            <w:shd w:val="clear" w:color="auto" w:fill="F3F3F3"/>
          </w:tcPr>
          <w:p w14:paraId="71DF876C" w14:textId="3DD00578"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275B3F89" w14:textId="20AF64E1"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highlight w:val="yellow"/>
              </w:rPr>
            </w:pPr>
            <w:r w:rsidRPr="002835A8">
              <w:rPr>
                <w:rFonts w:ascii="Times New Roman" w:eastAsia="Times New Roman" w:hAnsi="Times New Roman" w:cs="Times New Roman"/>
                <w:szCs w:val="20"/>
                <w:lang w:eastAsia="pl-PL"/>
              </w:rPr>
              <w:t>Maksymalna intensywność zabudowy</w:t>
            </w:r>
          </w:p>
        </w:tc>
        <w:tc>
          <w:tcPr>
            <w:tcW w:w="3264" w:type="dxa"/>
            <w:shd w:val="clear" w:color="auto" w:fill="auto"/>
          </w:tcPr>
          <w:p w14:paraId="72A123A3" w14:textId="66AACBBD" w:rsidR="002E7359" w:rsidRPr="00C60006" w:rsidRDefault="00320B83" w:rsidP="002E7359">
            <w:pPr>
              <w:pStyle w:val="TableParagraph"/>
              <w:jc w:val="both"/>
              <w:rPr>
                <w:bCs/>
                <w:szCs w:val="20"/>
              </w:rPr>
            </w:pPr>
            <w:r w:rsidRPr="00C60006">
              <w:rPr>
                <w:bCs/>
                <w:szCs w:val="20"/>
              </w:rPr>
              <w:t>3,5</w:t>
            </w:r>
          </w:p>
        </w:tc>
      </w:tr>
      <w:tr w:rsidR="002E7359" w:rsidRPr="002835A8" w14:paraId="32012F94" w14:textId="77777777" w:rsidTr="000F440E">
        <w:trPr>
          <w:trHeight w:val="288"/>
        </w:trPr>
        <w:tc>
          <w:tcPr>
            <w:tcW w:w="3099" w:type="dxa"/>
            <w:vMerge/>
            <w:shd w:val="clear" w:color="auto" w:fill="F3F3F3"/>
          </w:tcPr>
          <w:p w14:paraId="6D1EACFC" w14:textId="5BFC3E76"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4CDF3DBA" w14:textId="28361EF3"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highlight w:val="yellow"/>
                <w:lang w:eastAsia="pl-PL"/>
              </w:rPr>
            </w:pPr>
            <w:r w:rsidRPr="002835A8">
              <w:rPr>
                <w:rFonts w:ascii="Times New Roman" w:eastAsia="Times New Roman" w:hAnsi="Times New Roman" w:cs="Times New Roman"/>
                <w:szCs w:val="20"/>
                <w:lang w:eastAsia="pl-PL"/>
              </w:rPr>
              <w:t>Maksymalna i minimalna nadziemna intensywność zabudowy</w:t>
            </w:r>
          </w:p>
        </w:tc>
        <w:tc>
          <w:tcPr>
            <w:tcW w:w="3264" w:type="dxa"/>
            <w:shd w:val="clear" w:color="auto" w:fill="auto"/>
          </w:tcPr>
          <w:p w14:paraId="2B4FDDEA" w14:textId="73710D2D" w:rsidR="002E7359" w:rsidRPr="00C60006" w:rsidRDefault="00631EC2" w:rsidP="002E7359">
            <w:pPr>
              <w:spacing w:beforeLines="60" w:before="144" w:afterLines="60" w:after="144" w:line="240" w:lineRule="auto"/>
              <w:jc w:val="both"/>
              <w:rPr>
                <w:rFonts w:ascii="Times New Roman" w:eastAsia="Times New Roman" w:hAnsi="Times New Roman" w:cs="Times New Roman"/>
                <w:szCs w:val="20"/>
              </w:rPr>
            </w:pPr>
            <w:r w:rsidRPr="00C60006">
              <w:rPr>
                <w:rFonts w:ascii="Times New Roman" w:eastAsia="Times New Roman" w:hAnsi="Times New Roman" w:cs="Times New Roman"/>
                <w:szCs w:val="20"/>
              </w:rPr>
              <w:t>Brak informacji w planie</w:t>
            </w:r>
          </w:p>
        </w:tc>
      </w:tr>
      <w:tr w:rsidR="002E7359" w:rsidRPr="002835A8" w14:paraId="3FE8AB00" w14:textId="77777777" w:rsidTr="000F440E">
        <w:trPr>
          <w:trHeight w:val="288"/>
        </w:trPr>
        <w:tc>
          <w:tcPr>
            <w:tcW w:w="3099" w:type="dxa"/>
            <w:vMerge/>
            <w:shd w:val="clear" w:color="auto" w:fill="F3F3F3"/>
          </w:tcPr>
          <w:p w14:paraId="1978979E"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425D592C"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highlight w:val="yellow"/>
              </w:rPr>
            </w:pPr>
            <w:r w:rsidRPr="002835A8">
              <w:rPr>
                <w:rFonts w:ascii="Times New Roman" w:eastAsia="Times New Roman" w:hAnsi="Times New Roman" w:cs="Times New Roman"/>
                <w:szCs w:val="20"/>
                <w:lang w:eastAsia="pl-PL"/>
              </w:rPr>
              <w:t>Maksymalna wysokość zabudowy</w:t>
            </w:r>
          </w:p>
        </w:tc>
        <w:tc>
          <w:tcPr>
            <w:tcW w:w="3264" w:type="dxa"/>
            <w:shd w:val="clear" w:color="auto" w:fill="auto"/>
          </w:tcPr>
          <w:p w14:paraId="1232BF7C" w14:textId="67029CFB" w:rsidR="002E7359" w:rsidRPr="00C60006" w:rsidRDefault="00631EC2" w:rsidP="002E7359">
            <w:pPr>
              <w:spacing w:beforeLines="60" w:before="144" w:afterLines="60" w:after="144" w:line="240" w:lineRule="auto"/>
              <w:jc w:val="both"/>
              <w:rPr>
                <w:rFonts w:ascii="Times New Roman" w:eastAsia="Times New Roman" w:hAnsi="Times New Roman" w:cs="Times New Roman"/>
                <w:szCs w:val="20"/>
              </w:rPr>
            </w:pPr>
            <w:r w:rsidRPr="00C60006">
              <w:rPr>
                <w:rFonts w:ascii="Times New Roman" w:eastAsia="Times New Roman" w:hAnsi="Times New Roman" w:cs="Times New Roman"/>
                <w:szCs w:val="20"/>
              </w:rPr>
              <w:t>16m</w:t>
            </w:r>
          </w:p>
        </w:tc>
      </w:tr>
      <w:tr w:rsidR="002E7359" w:rsidRPr="002835A8" w14:paraId="2D9B0B48" w14:textId="77777777" w:rsidTr="000F440E">
        <w:trPr>
          <w:trHeight w:val="288"/>
        </w:trPr>
        <w:tc>
          <w:tcPr>
            <w:tcW w:w="3099" w:type="dxa"/>
            <w:vMerge/>
            <w:shd w:val="clear" w:color="auto" w:fill="F3F3F3"/>
          </w:tcPr>
          <w:p w14:paraId="78F81392" w14:textId="350B23C9"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6013CC5C" w14:textId="4DA64F1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highlight w:val="yellow"/>
                <w:lang w:eastAsia="pl-PL"/>
              </w:rPr>
            </w:pPr>
            <w:r w:rsidRPr="002835A8">
              <w:rPr>
                <w:rFonts w:ascii="Times New Roman" w:eastAsia="Times New Roman" w:hAnsi="Times New Roman" w:cs="Times New Roman"/>
                <w:szCs w:val="20"/>
                <w:lang w:eastAsia="pl-PL"/>
              </w:rPr>
              <w:t>Maksymalna powierzchnia zabudowy</w:t>
            </w:r>
          </w:p>
        </w:tc>
        <w:tc>
          <w:tcPr>
            <w:tcW w:w="3264" w:type="dxa"/>
            <w:shd w:val="clear" w:color="auto" w:fill="auto"/>
          </w:tcPr>
          <w:p w14:paraId="306FD3B4" w14:textId="77777777" w:rsidR="002E7359" w:rsidRPr="00C60006" w:rsidRDefault="002E7359" w:rsidP="002E7359">
            <w:pPr>
              <w:pStyle w:val="TableParagraph"/>
              <w:jc w:val="both"/>
              <w:rPr>
                <w:bCs/>
                <w:szCs w:val="20"/>
              </w:rPr>
            </w:pPr>
          </w:p>
          <w:p w14:paraId="7293DD3B" w14:textId="28913653" w:rsidR="002E7359" w:rsidRPr="00C60006" w:rsidRDefault="00631EC2" w:rsidP="002E7359">
            <w:pPr>
              <w:spacing w:beforeLines="60" w:before="144" w:afterLines="60" w:after="144" w:line="240" w:lineRule="auto"/>
              <w:jc w:val="both"/>
              <w:rPr>
                <w:rFonts w:ascii="Times New Roman" w:eastAsia="Times New Roman" w:hAnsi="Times New Roman" w:cs="Times New Roman"/>
                <w:szCs w:val="20"/>
              </w:rPr>
            </w:pPr>
            <w:r w:rsidRPr="00C60006">
              <w:rPr>
                <w:rFonts w:ascii="Times New Roman" w:eastAsia="Times New Roman" w:hAnsi="Times New Roman" w:cs="Times New Roman"/>
                <w:szCs w:val="20"/>
              </w:rPr>
              <w:t>maksymalna powierzchnia zabudowy w stosunku do powierzchni działki lub terenu – 70%;</w:t>
            </w:r>
          </w:p>
        </w:tc>
      </w:tr>
      <w:tr w:rsidR="002E7359" w:rsidRPr="002835A8" w14:paraId="7FA55D82" w14:textId="77777777" w:rsidTr="000F440E">
        <w:trPr>
          <w:trHeight w:val="288"/>
        </w:trPr>
        <w:tc>
          <w:tcPr>
            <w:tcW w:w="3099" w:type="dxa"/>
            <w:vMerge/>
            <w:shd w:val="clear" w:color="auto" w:fill="F3F3F3"/>
          </w:tcPr>
          <w:p w14:paraId="5BF4E641" w14:textId="4D19676C"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5D3241D9"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highlight w:val="yellow"/>
              </w:rPr>
            </w:pPr>
            <w:r w:rsidRPr="002835A8">
              <w:rPr>
                <w:rFonts w:ascii="Times New Roman" w:eastAsia="Times New Roman" w:hAnsi="Times New Roman" w:cs="Times New Roman"/>
                <w:szCs w:val="20"/>
                <w:lang w:eastAsia="pl-PL"/>
              </w:rPr>
              <w:t>Minimalny udział procentowy powierzchni biologicznie czynnej</w:t>
            </w:r>
          </w:p>
        </w:tc>
        <w:tc>
          <w:tcPr>
            <w:tcW w:w="3264" w:type="dxa"/>
            <w:shd w:val="clear" w:color="auto" w:fill="auto"/>
          </w:tcPr>
          <w:p w14:paraId="6C1513CC" w14:textId="3FA4EA2E" w:rsidR="002E7359" w:rsidRPr="00C60006" w:rsidRDefault="00631EC2" w:rsidP="002E7359">
            <w:pPr>
              <w:spacing w:after="0" w:line="240" w:lineRule="auto"/>
              <w:jc w:val="both"/>
              <w:rPr>
                <w:rFonts w:ascii="Times New Roman" w:eastAsia="Times New Roman" w:hAnsi="Times New Roman" w:cs="Times New Roman"/>
                <w:szCs w:val="20"/>
              </w:rPr>
            </w:pPr>
            <w:r w:rsidRPr="00C60006">
              <w:rPr>
                <w:rFonts w:ascii="Times New Roman" w:eastAsia="Times New Roman" w:hAnsi="Times New Roman" w:cs="Times New Roman"/>
                <w:szCs w:val="20"/>
              </w:rPr>
              <w:t>25%</w:t>
            </w:r>
          </w:p>
        </w:tc>
      </w:tr>
      <w:tr w:rsidR="002E7359" w:rsidRPr="002835A8" w14:paraId="0F69D528" w14:textId="77777777" w:rsidTr="000F440E">
        <w:trPr>
          <w:trHeight w:val="288"/>
        </w:trPr>
        <w:tc>
          <w:tcPr>
            <w:tcW w:w="3099" w:type="dxa"/>
            <w:vMerge/>
            <w:shd w:val="clear" w:color="auto" w:fill="F3F3F3"/>
          </w:tcPr>
          <w:p w14:paraId="060153B8"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7BF56752"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highlight w:val="yellow"/>
              </w:rPr>
            </w:pPr>
            <w:r w:rsidRPr="002835A8">
              <w:rPr>
                <w:rFonts w:ascii="Times New Roman" w:eastAsia="Times New Roman" w:hAnsi="Times New Roman" w:cs="Times New Roman"/>
                <w:szCs w:val="20"/>
                <w:lang w:eastAsia="pl-PL"/>
              </w:rPr>
              <w:t>Minimalna liczba miejsc do parkowania</w:t>
            </w:r>
          </w:p>
        </w:tc>
        <w:tc>
          <w:tcPr>
            <w:tcW w:w="3264" w:type="dxa"/>
            <w:shd w:val="clear" w:color="auto" w:fill="auto"/>
          </w:tcPr>
          <w:p w14:paraId="1089BECF" w14:textId="49815E44" w:rsidR="002E7359" w:rsidRPr="00C60006" w:rsidRDefault="00631EC2" w:rsidP="002E7359">
            <w:pPr>
              <w:autoSpaceDE w:val="0"/>
              <w:autoSpaceDN w:val="0"/>
              <w:adjustRightInd w:val="0"/>
              <w:spacing w:after="0" w:line="240" w:lineRule="auto"/>
              <w:jc w:val="both"/>
              <w:rPr>
                <w:rFonts w:ascii="Times New Roman" w:hAnsi="Times New Roman" w:cs="Times New Roman"/>
              </w:rPr>
            </w:pPr>
            <w:r w:rsidRPr="00C60006">
              <w:rPr>
                <w:rFonts w:ascii="Times New Roman" w:hAnsi="Times New Roman" w:cs="Times New Roman"/>
              </w:rPr>
              <w:t xml:space="preserve">0,7 miejsca na 1 mieszkanie </w:t>
            </w:r>
          </w:p>
        </w:tc>
      </w:tr>
      <w:tr w:rsidR="002E7359" w:rsidRPr="002835A8" w14:paraId="60E504A2" w14:textId="77777777" w:rsidTr="000F440E">
        <w:trPr>
          <w:trHeight w:val="1687"/>
        </w:trPr>
        <w:tc>
          <w:tcPr>
            <w:tcW w:w="3099" w:type="dxa"/>
            <w:vMerge w:val="restart"/>
            <w:shd w:val="clear" w:color="auto" w:fill="F3F3F3"/>
          </w:tcPr>
          <w:p w14:paraId="6A231DB8" w14:textId="018890B9"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lastRenderedPageBreak/>
              <w:t>Ustalenia decyzji o warunkach zabudowy albo decyzji o ustaleniu lokalizacji inwestycji celu publicznego dla terenu objętego przedsięwzięciem deweloperskim lub zadaniem inwestycyjnym w przypadku braku miejscowego planu zagospodarowania przestrzennego</w:t>
            </w:r>
          </w:p>
          <w:p w14:paraId="603812E7"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p w14:paraId="623A19CF"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28B4EF19"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p w14:paraId="4045657A"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Funkcja zabudowy i zagospodarowania terenu</w:t>
            </w:r>
          </w:p>
        </w:tc>
        <w:tc>
          <w:tcPr>
            <w:tcW w:w="3264" w:type="dxa"/>
            <w:shd w:val="clear" w:color="auto" w:fill="auto"/>
          </w:tcPr>
          <w:p w14:paraId="226FF293" w14:textId="727269C3" w:rsidR="002E7359" w:rsidRPr="00C60006" w:rsidRDefault="00336470" w:rsidP="002E7359">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3BB9C5C6" w14:textId="5005A310"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16ABC462" w14:textId="77777777" w:rsidTr="000F440E">
        <w:trPr>
          <w:trHeight w:val="181"/>
        </w:trPr>
        <w:tc>
          <w:tcPr>
            <w:tcW w:w="3099" w:type="dxa"/>
            <w:vMerge/>
            <w:shd w:val="clear" w:color="auto" w:fill="F3F3F3"/>
          </w:tcPr>
          <w:p w14:paraId="4CEFB489"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tc>
        <w:tc>
          <w:tcPr>
            <w:tcW w:w="6683" w:type="dxa"/>
            <w:gridSpan w:val="2"/>
            <w:shd w:val="clear" w:color="auto" w:fill="auto"/>
          </w:tcPr>
          <w:p w14:paraId="22EDC503" w14:textId="77777777"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r w:rsidRPr="00C60006">
              <w:rPr>
                <w:rFonts w:ascii="Times New Roman" w:eastAsia="Times New Roman" w:hAnsi="Times New Roman" w:cs="Times New Roman"/>
                <w:szCs w:val="20"/>
              </w:rPr>
              <w:t>Cechy zabudowy i zagospodarowania terenu:</w:t>
            </w:r>
          </w:p>
        </w:tc>
      </w:tr>
      <w:tr w:rsidR="002E7359" w:rsidRPr="002835A8" w14:paraId="79705F2C" w14:textId="77777777" w:rsidTr="000F440E">
        <w:trPr>
          <w:trHeight w:val="181"/>
        </w:trPr>
        <w:tc>
          <w:tcPr>
            <w:tcW w:w="3099" w:type="dxa"/>
            <w:vMerge/>
            <w:shd w:val="clear" w:color="auto" w:fill="F3F3F3"/>
          </w:tcPr>
          <w:p w14:paraId="5699913B"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tc>
        <w:tc>
          <w:tcPr>
            <w:tcW w:w="3419" w:type="dxa"/>
            <w:shd w:val="clear" w:color="auto" w:fill="auto"/>
          </w:tcPr>
          <w:p w14:paraId="5C657606"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gabaryty</w:t>
            </w:r>
          </w:p>
        </w:tc>
        <w:tc>
          <w:tcPr>
            <w:tcW w:w="3264" w:type="dxa"/>
            <w:shd w:val="clear" w:color="auto" w:fill="auto"/>
          </w:tcPr>
          <w:p w14:paraId="5953F9A1"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3B6DAC1B" w14:textId="034D70A9"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27A877F0" w14:textId="77777777" w:rsidTr="000F440E">
        <w:trPr>
          <w:trHeight w:val="181"/>
        </w:trPr>
        <w:tc>
          <w:tcPr>
            <w:tcW w:w="3099" w:type="dxa"/>
            <w:vMerge/>
            <w:shd w:val="clear" w:color="auto" w:fill="F3F3F3"/>
          </w:tcPr>
          <w:p w14:paraId="6700133E"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tc>
        <w:tc>
          <w:tcPr>
            <w:tcW w:w="3419" w:type="dxa"/>
            <w:shd w:val="clear" w:color="auto" w:fill="auto"/>
          </w:tcPr>
          <w:p w14:paraId="08EF1FE6"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forma architektoniczna</w:t>
            </w:r>
          </w:p>
        </w:tc>
        <w:tc>
          <w:tcPr>
            <w:tcW w:w="3264" w:type="dxa"/>
            <w:shd w:val="clear" w:color="auto" w:fill="auto"/>
          </w:tcPr>
          <w:p w14:paraId="03BA8106"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58A75D05" w14:textId="4CE7C0AF"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03ED5EA7" w14:textId="77777777" w:rsidTr="000F440E">
        <w:trPr>
          <w:trHeight w:val="181"/>
        </w:trPr>
        <w:tc>
          <w:tcPr>
            <w:tcW w:w="3099" w:type="dxa"/>
            <w:vMerge/>
            <w:shd w:val="clear" w:color="auto" w:fill="F3F3F3"/>
          </w:tcPr>
          <w:p w14:paraId="050DF3FA"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tc>
        <w:tc>
          <w:tcPr>
            <w:tcW w:w="3419" w:type="dxa"/>
            <w:shd w:val="clear" w:color="auto" w:fill="auto"/>
          </w:tcPr>
          <w:p w14:paraId="035583BC"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usytuowanie linii zabudowy</w:t>
            </w:r>
          </w:p>
        </w:tc>
        <w:tc>
          <w:tcPr>
            <w:tcW w:w="3264" w:type="dxa"/>
            <w:shd w:val="clear" w:color="auto" w:fill="auto"/>
          </w:tcPr>
          <w:p w14:paraId="6E2E52BF"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02AB6279" w14:textId="71D7E9BE"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4E4C99E9" w14:textId="77777777" w:rsidTr="000F440E">
        <w:trPr>
          <w:trHeight w:val="181"/>
        </w:trPr>
        <w:tc>
          <w:tcPr>
            <w:tcW w:w="3099" w:type="dxa"/>
            <w:vMerge/>
            <w:shd w:val="clear" w:color="auto" w:fill="F3F3F3"/>
          </w:tcPr>
          <w:p w14:paraId="4454E3F8"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tc>
        <w:tc>
          <w:tcPr>
            <w:tcW w:w="3419" w:type="dxa"/>
            <w:shd w:val="clear" w:color="auto" w:fill="auto"/>
          </w:tcPr>
          <w:p w14:paraId="07BA6D84"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intensywność wykorzystania terenu</w:t>
            </w:r>
          </w:p>
        </w:tc>
        <w:tc>
          <w:tcPr>
            <w:tcW w:w="3264" w:type="dxa"/>
            <w:shd w:val="clear" w:color="auto" w:fill="auto"/>
          </w:tcPr>
          <w:p w14:paraId="08374F13"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16080FA3" w14:textId="3EDE88E4"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690AECD4" w14:textId="77777777" w:rsidTr="000F440E">
        <w:trPr>
          <w:trHeight w:val="181"/>
        </w:trPr>
        <w:tc>
          <w:tcPr>
            <w:tcW w:w="3099" w:type="dxa"/>
            <w:vMerge/>
            <w:shd w:val="clear" w:color="auto" w:fill="F3F3F3"/>
          </w:tcPr>
          <w:p w14:paraId="6BB9543C"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tc>
        <w:tc>
          <w:tcPr>
            <w:tcW w:w="3419" w:type="dxa"/>
            <w:shd w:val="clear" w:color="auto" w:fill="auto"/>
          </w:tcPr>
          <w:p w14:paraId="3FE184C6"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warunki ochrony środowiska i zdrowia ludzi, przyrody i krajobrazu</w:t>
            </w:r>
          </w:p>
        </w:tc>
        <w:tc>
          <w:tcPr>
            <w:tcW w:w="3264" w:type="dxa"/>
            <w:shd w:val="clear" w:color="auto" w:fill="auto"/>
          </w:tcPr>
          <w:p w14:paraId="4CE1534F"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49AF66E3" w14:textId="7A366566"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76787FF5" w14:textId="77777777" w:rsidTr="000F440E">
        <w:trPr>
          <w:trHeight w:val="181"/>
        </w:trPr>
        <w:tc>
          <w:tcPr>
            <w:tcW w:w="3099" w:type="dxa"/>
            <w:vMerge/>
            <w:shd w:val="clear" w:color="auto" w:fill="F3F3F3"/>
          </w:tcPr>
          <w:p w14:paraId="632C5D1A"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tc>
        <w:tc>
          <w:tcPr>
            <w:tcW w:w="3419" w:type="dxa"/>
            <w:shd w:val="clear" w:color="auto" w:fill="auto"/>
          </w:tcPr>
          <w:p w14:paraId="37FC915A"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wymagania dotyczące zabudowy i zagospodarowania terenu położonego na obszarach szczególnego zagrożenia powodzią</w:t>
            </w:r>
          </w:p>
        </w:tc>
        <w:tc>
          <w:tcPr>
            <w:tcW w:w="3264" w:type="dxa"/>
            <w:shd w:val="clear" w:color="auto" w:fill="auto"/>
          </w:tcPr>
          <w:p w14:paraId="7B45DB82"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6F60FA8A" w14:textId="13DCF158"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6DD2845C" w14:textId="77777777" w:rsidTr="000F440E">
        <w:trPr>
          <w:trHeight w:val="181"/>
        </w:trPr>
        <w:tc>
          <w:tcPr>
            <w:tcW w:w="3099" w:type="dxa"/>
            <w:vMerge/>
            <w:shd w:val="clear" w:color="auto" w:fill="F3F3F3"/>
          </w:tcPr>
          <w:p w14:paraId="07D1D5B7"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tc>
        <w:tc>
          <w:tcPr>
            <w:tcW w:w="3419" w:type="dxa"/>
            <w:shd w:val="clear" w:color="auto" w:fill="auto"/>
          </w:tcPr>
          <w:p w14:paraId="18007CC3"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warunki ochrony dziedzictwa kulturowego i zabytków oraz dóbr kultury współczesnej</w:t>
            </w:r>
          </w:p>
        </w:tc>
        <w:tc>
          <w:tcPr>
            <w:tcW w:w="3264" w:type="dxa"/>
            <w:shd w:val="clear" w:color="auto" w:fill="auto"/>
          </w:tcPr>
          <w:p w14:paraId="1402A308"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65BF0FEB" w14:textId="1E23770A"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3B65A786" w14:textId="77777777" w:rsidTr="000F440E">
        <w:trPr>
          <w:trHeight w:val="181"/>
        </w:trPr>
        <w:tc>
          <w:tcPr>
            <w:tcW w:w="3099" w:type="dxa"/>
            <w:vMerge/>
            <w:shd w:val="clear" w:color="auto" w:fill="F3F3F3"/>
          </w:tcPr>
          <w:p w14:paraId="402C9D08"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tc>
        <w:tc>
          <w:tcPr>
            <w:tcW w:w="3419" w:type="dxa"/>
            <w:shd w:val="clear" w:color="auto" w:fill="auto"/>
          </w:tcPr>
          <w:p w14:paraId="0A910D0F"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wymagania dotyczące ochrony innych terenów lub obiektów podlegających ochronie na podstawie przepisów odrębnych</w:t>
            </w:r>
          </w:p>
        </w:tc>
        <w:tc>
          <w:tcPr>
            <w:tcW w:w="3264" w:type="dxa"/>
            <w:shd w:val="clear" w:color="auto" w:fill="auto"/>
          </w:tcPr>
          <w:p w14:paraId="3EF54517"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79AEA10F" w14:textId="519A8BB4"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53C9962F" w14:textId="77777777" w:rsidTr="000F440E">
        <w:trPr>
          <w:trHeight w:val="181"/>
        </w:trPr>
        <w:tc>
          <w:tcPr>
            <w:tcW w:w="3099" w:type="dxa"/>
            <w:vMerge/>
            <w:shd w:val="clear" w:color="auto" w:fill="F3F3F3"/>
          </w:tcPr>
          <w:p w14:paraId="45D888E2"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tc>
        <w:tc>
          <w:tcPr>
            <w:tcW w:w="3419" w:type="dxa"/>
            <w:shd w:val="clear" w:color="auto" w:fill="auto"/>
          </w:tcPr>
          <w:p w14:paraId="1F0831B3"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warunki i szczegółowe zasady obsługi w zakresie komunikacji</w:t>
            </w:r>
          </w:p>
        </w:tc>
        <w:tc>
          <w:tcPr>
            <w:tcW w:w="3264" w:type="dxa"/>
            <w:shd w:val="clear" w:color="auto" w:fill="auto"/>
          </w:tcPr>
          <w:p w14:paraId="62685493"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18677393" w14:textId="30EE66C3"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63FCDB76" w14:textId="77777777" w:rsidTr="000F440E">
        <w:trPr>
          <w:trHeight w:val="181"/>
        </w:trPr>
        <w:tc>
          <w:tcPr>
            <w:tcW w:w="3099" w:type="dxa"/>
            <w:vMerge/>
            <w:shd w:val="clear" w:color="auto" w:fill="F3F3F3"/>
          </w:tcPr>
          <w:p w14:paraId="7793635C"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rPr>
            </w:pPr>
          </w:p>
        </w:tc>
        <w:tc>
          <w:tcPr>
            <w:tcW w:w="3419" w:type="dxa"/>
            <w:shd w:val="clear" w:color="auto" w:fill="auto"/>
          </w:tcPr>
          <w:p w14:paraId="6C57BBE7"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lang w:eastAsia="pl-PL"/>
              </w:rPr>
              <w:t>warunki i szczegółowe zasady obsługi w zakresie infrastruktury technicznej</w:t>
            </w:r>
          </w:p>
        </w:tc>
        <w:tc>
          <w:tcPr>
            <w:tcW w:w="3264" w:type="dxa"/>
            <w:shd w:val="clear" w:color="auto" w:fill="auto"/>
          </w:tcPr>
          <w:p w14:paraId="3B5DB6F8"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7CD073F1" w14:textId="44E90FAC"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672276D7" w14:textId="77777777" w:rsidTr="000F440E">
        <w:trPr>
          <w:trHeight w:val="73"/>
        </w:trPr>
        <w:tc>
          <w:tcPr>
            <w:tcW w:w="3099" w:type="dxa"/>
            <w:vMerge/>
            <w:shd w:val="clear" w:color="auto" w:fill="F3F3F3"/>
          </w:tcPr>
          <w:p w14:paraId="76652CA1" w14:textId="77777777" w:rsidR="002E7359" w:rsidRPr="002835A8" w:rsidRDefault="002E7359" w:rsidP="002E7359">
            <w:pPr>
              <w:spacing w:beforeLines="60" w:before="144" w:afterLines="60" w:after="144" w:line="240" w:lineRule="auto"/>
              <w:rPr>
                <w:rFonts w:ascii="Times New Roman" w:eastAsia="Times New Roman" w:hAnsi="Times New Roman" w:cs="Times New Roman"/>
                <w:szCs w:val="20"/>
              </w:rPr>
            </w:pPr>
          </w:p>
        </w:tc>
        <w:tc>
          <w:tcPr>
            <w:tcW w:w="3419" w:type="dxa"/>
            <w:shd w:val="clear" w:color="auto" w:fill="auto"/>
          </w:tcPr>
          <w:p w14:paraId="226E187F" w14:textId="2E263279"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Minimalny udział procentowy powierzchni biologicznie czynnej</w:t>
            </w:r>
          </w:p>
        </w:tc>
        <w:tc>
          <w:tcPr>
            <w:tcW w:w="3264" w:type="dxa"/>
            <w:shd w:val="clear" w:color="auto" w:fill="auto"/>
          </w:tcPr>
          <w:p w14:paraId="154120BD"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74AE8B49" w14:textId="3C0B023E"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49427484" w14:textId="77777777" w:rsidTr="000F440E">
        <w:trPr>
          <w:trHeight w:val="73"/>
        </w:trPr>
        <w:tc>
          <w:tcPr>
            <w:tcW w:w="3099" w:type="dxa"/>
            <w:vMerge/>
            <w:shd w:val="clear" w:color="auto" w:fill="F3F3F3"/>
          </w:tcPr>
          <w:p w14:paraId="6CDFC623" w14:textId="77777777" w:rsidR="002E7359" w:rsidRPr="002835A8" w:rsidRDefault="002E7359" w:rsidP="002E7359">
            <w:pPr>
              <w:spacing w:beforeLines="60" w:before="144" w:afterLines="60" w:after="144" w:line="240" w:lineRule="auto"/>
              <w:rPr>
                <w:rFonts w:ascii="Times New Roman" w:eastAsia="Times New Roman" w:hAnsi="Times New Roman" w:cs="Times New Roman"/>
                <w:szCs w:val="20"/>
              </w:rPr>
            </w:pPr>
          </w:p>
        </w:tc>
        <w:tc>
          <w:tcPr>
            <w:tcW w:w="3419" w:type="dxa"/>
            <w:shd w:val="clear" w:color="auto" w:fill="auto"/>
          </w:tcPr>
          <w:p w14:paraId="5FC11B02" w14:textId="2415D041"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Nadziemna intensywność zabudowy</w:t>
            </w:r>
          </w:p>
        </w:tc>
        <w:tc>
          <w:tcPr>
            <w:tcW w:w="3264" w:type="dxa"/>
            <w:shd w:val="clear" w:color="auto" w:fill="auto"/>
          </w:tcPr>
          <w:p w14:paraId="24201D4E"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0E3603F5" w14:textId="0D61C650"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25022D53" w14:textId="77777777" w:rsidTr="000F440E">
        <w:trPr>
          <w:trHeight w:val="73"/>
        </w:trPr>
        <w:tc>
          <w:tcPr>
            <w:tcW w:w="3099" w:type="dxa"/>
            <w:vMerge/>
            <w:shd w:val="clear" w:color="auto" w:fill="F3F3F3"/>
          </w:tcPr>
          <w:p w14:paraId="66D82B93" w14:textId="77777777" w:rsidR="002E7359" w:rsidRPr="002835A8" w:rsidRDefault="002E7359" w:rsidP="002E7359">
            <w:pPr>
              <w:spacing w:beforeLines="60" w:before="144" w:afterLines="60" w:after="144" w:line="240" w:lineRule="auto"/>
              <w:rPr>
                <w:rFonts w:ascii="Times New Roman" w:eastAsia="Times New Roman" w:hAnsi="Times New Roman" w:cs="Times New Roman"/>
                <w:szCs w:val="20"/>
              </w:rPr>
            </w:pPr>
          </w:p>
        </w:tc>
        <w:tc>
          <w:tcPr>
            <w:tcW w:w="3419" w:type="dxa"/>
            <w:shd w:val="clear" w:color="auto" w:fill="auto"/>
          </w:tcPr>
          <w:p w14:paraId="0E0CA569" w14:textId="2F174752"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Wysokość zabudowy </w:t>
            </w:r>
          </w:p>
        </w:tc>
        <w:tc>
          <w:tcPr>
            <w:tcW w:w="3264" w:type="dxa"/>
            <w:shd w:val="clear" w:color="auto" w:fill="auto"/>
          </w:tcPr>
          <w:p w14:paraId="7F10ECA9" w14:textId="77777777" w:rsidR="00DA6814" w:rsidRPr="00C60006" w:rsidRDefault="00DA6814" w:rsidP="00DA6814">
            <w:pPr>
              <w:spacing w:beforeLines="60" w:before="144" w:afterLines="60" w:after="144" w:line="240" w:lineRule="auto"/>
              <w:jc w:val="both"/>
              <w:rPr>
                <w:rFonts w:ascii="Times New Roman" w:eastAsia="Univers-PL" w:hAnsi="Times New Roman" w:cs="Times New Roman"/>
                <w:szCs w:val="20"/>
                <w:lang w:eastAsia="pl-PL"/>
              </w:rPr>
            </w:pPr>
            <w:r w:rsidRPr="00C60006">
              <w:rPr>
                <w:rFonts w:ascii="Times New Roman" w:eastAsia="Times New Roman" w:hAnsi="Times New Roman" w:cs="Times New Roman"/>
                <w:szCs w:val="20"/>
              </w:rPr>
              <w:t>Obowiązują ustalenia MPZP</w:t>
            </w:r>
          </w:p>
          <w:p w14:paraId="16325C0D" w14:textId="7B01B0F8" w:rsidR="002E7359" w:rsidRPr="00C60006"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744CBA6E" w14:textId="77777777" w:rsidTr="000F440E">
        <w:trPr>
          <w:trHeight w:val="735"/>
        </w:trPr>
        <w:tc>
          <w:tcPr>
            <w:tcW w:w="3099" w:type="dxa"/>
            <w:vMerge w:val="restart"/>
            <w:shd w:val="clear" w:color="auto" w:fill="F3F3F3"/>
          </w:tcPr>
          <w:p w14:paraId="767C21E5" w14:textId="05AAF938" w:rsidR="002E7359" w:rsidRPr="00972746" w:rsidRDefault="002E7359" w:rsidP="002E7359">
            <w:pPr>
              <w:spacing w:beforeLines="60" w:before="144" w:afterLines="60" w:after="144" w:line="240" w:lineRule="auto"/>
              <w:rPr>
                <w:rFonts w:ascii="Times New Roman" w:eastAsia="Times New Roman" w:hAnsi="Times New Roman" w:cs="Times New Roman"/>
                <w:szCs w:val="20"/>
              </w:rPr>
            </w:pPr>
            <w:r w:rsidRPr="00972746">
              <w:rPr>
                <w:rFonts w:ascii="Times New Roman" w:eastAsia="Times New Roman" w:hAnsi="Times New Roman" w:cs="Times New Roman"/>
                <w:szCs w:val="20"/>
              </w:rPr>
              <w:t>Informacje dotyczące przewidzianych inwestycji w promieniu 1 km od przedmiotowej nieruchomości</w:t>
            </w:r>
            <w:r w:rsidRPr="00972746">
              <w:rPr>
                <w:rStyle w:val="Odwoanieprzypisudolnego"/>
                <w:rFonts w:ascii="Times New Roman" w:eastAsia="Times New Roman" w:hAnsi="Times New Roman"/>
                <w:szCs w:val="20"/>
              </w:rPr>
              <w:footnoteReference w:customMarkFollows="1" w:id="7"/>
              <w:t>6)</w:t>
            </w:r>
            <w:r w:rsidRPr="00972746">
              <w:rPr>
                <w:rFonts w:ascii="Times New Roman" w:eastAsia="Times New Roman" w:hAnsi="Times New Roman" w:cs="Times New Roman"/>
                <w:szCs w:val="20"/>
              </w:rPr>
              <w:t>, zawarte w:</w:t>
            </w:r>
          </w:p>
          <w:p w14:paraId="132D3AD7" w14:textId="77777777" w:rsidR="002E7359" w:rsidRPr="00972746"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49370C44" w14:textId="77777777" w:rsidR="002E7359" w:rsidRPr="00972746" w:rsidRDefault="002E7359" w:rsidP="002E7359">
            <w:pPr>
              <w:spacing w:beforeLines="60" w:before="144" w:afterLines="60" w:after="144" w:line="240" w:lineRule="auto"/>
              <w:rPr>
                <w:rFonts w:ascii="Times New Roman" w:eastAsia="Times New Roman" w:hAnsi="Times New Roman" w:cs="Times New Roman"/>
                <w:szCs w:val="20"/>
              </w:rPr>
            </w:pPr>
            <w:r w:rsidRPr="00972746">
              <w:rPr>
                <w:rFonts w:ascii="Times New Roman" w:eastAsia="Times New Roman" w:hAnsi="Times New Roman" w:cs="Times New Roman"/>
                <w:szCs w:val="20"/>
              </w:rPr>
              <w:t>miejscowych planach zagospodarowania przestrzennego</w:t>
            </w:r>
          </w:p>
        </w:tc>
        <w:tc>
          <w:tcPr>
            <w:tcW w:w="3264" w:type="dxa"/>
            <w:shd w:val="clear" w:color="auto" w:fill="auto"/>
          </w:tcPr>
          <w:p w14:paraId="3B5CAA0B"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Na przedmiotowym obszarze obowiązują we fragmentach lub w całości plany miejscowe o numerach: 166, 232, 188, 230, 231, 224, 204, 200, 49, Zgodnie z informacjami zawartymi w </w:t>
            </w:r>
            <w:proofErr w:type="spellStart"/>
            <w:r w:rsidRPr="00C60006">
              <w:rPr>
                <w:rFonts w:ascii="Times New Roman" w:eastAsia="Times New Roman" w:hAnsi="Times New Roman" w:cs="Times New Roman"/>
                <w:sz w:val="20"/>
                <w:szCs w:val="20"/>
              </w:rPr>
              <w:t>mpzp</w:t>
            </w:r>
            <w:proofErr w:type="spellEnd"/>
            <w:r w:rsidRPr="00C60006">
              <w:rPr>
                <w:rFonts w:ascii="Times New Roman" w:eastAsia="Times New Roman" w:hAnsi="Times New Roman" w:cs="Times New Roman"/>
                <w:sz w:val="20"/>
                <w:szCs w:val="20"/>
              </w:rPr>
              <w:t xml:space="preserve">, dostępnymi pod adresem: </w:t>
            </w:r>
            <w:hyperlink r:id="rId8" w:history="1">
              <w:r w:rsidRPr="00C60006">
                <w:rPr>
                  <w:rStyle w:val="Hipercze"/>
                  <w:rFonts w:ascii="Times New Roman" w:eastAsia="Times New Roman" w:hAnsi="Times New Roman" w:cs="Times New Roman"/>
                  <w:sz w:val="20"/>
                  <w:szCs w:val="20"/>
                </w:rPr>
                <w:t>www.mpu.bydgoszcz.pl/plany</w:t>
              </w:r>
            </w:hyperlink>
            <w:r w:rsidRPr="00C60006">
              <w:rPr>
                <w:rFonts w:ascii="Times New Roman" w:eastAsia="Times New Roman" w:hAnsi="Times New Roman" w:cs="Times New Roman"/>
                <w:sz w:val="20"/>
                <w:szCs w:val="20"/>
              </w:rPr>
              <w:t xml:space="preserve"> w planie o numerze 166 przeznacza się tereny pod: zabudowę mieszkaniową wielorodzinną (MW), zabudowę usługową z możliwością rozmieszczenia obiektów handlowych o powierzchni sprzedaży </w:t>
            </w:r>
            <w:proofErr w:type="spellStart"/>
            <w:r w:rsidRPr="00C60006">
              <w:rPr>
                <w:rFonts w:ascii="Times New Roman" w:eastAsia="Times New Roman" w:hAnsi="Times New Roman" w:cs="Times New Roman"/>
                <w:sz w:val="20"/>
                <w:szCs w:val="20"/>
              </w:rPr>
              <w:t>pow</w:t>
            </w:r>
            <w:proofErr w:type="spellEnd"/>
            <w:r w:rsidRPr="00C60006">
              <w:rPr>
                <w:rFonts w:ascii="Times New Roman" w:eastAsia="Times New Roman" w:hAnsi="Times New Roman" w:cs="Times New Roman"/>
                <w:sz w:val="20"/>
                <w:szCs w:val="20"/>
              </w:rPr>
              <w:t xml:space="preserve"> 2000m</w:t>
            </w:r>
            <w:r w:rsidRPr="00C60006">
              <w:rPr>
                <w:rFonts w:ascii="Times New Roman" w:eastAsia="Times New Roman" w:hAnsi="Times New Roman" w:cs="Times New Roman"/>
                <w:sz w:val="20"/>
                <w:szCs w:val="20"/>
                <w:vertAlign w:val="superscript"/>
              </w:rPr>
              <w:t>2</w:t>
            </w:r>
            <w:r w:rsidRPr="00C60006">
              <w:rPr>
                <w:rFonts w:ascii="Times New Roman" w:eastAsia="Times New Roman" w:hAnsi="Times New Roman" w:cs="Times New Roman"/>
                <w:sz w:val="20"/>
                <w:szCs w:val="20"/>
              </w:rPr>
              <w:t xml:space="preserve"> (U/UC), zabudowę usługową i mieszkaniową wielorodzinną (U/MW), drogi publiczne: ulice główne ruchu przyspieszonego (KD-GP), ulice zbiorcze (KD-Z), ulice lokalne (KD-L), drogi wewnętrzne (KD-W); urządzenia infrastruktury elektroenergetycznej – stacje transformatorowe (IE); urządzenia infrastruktury gazowej – stacje </w:t>
            </w:r>
            <w:proofErr w:type="spellStart"/>
            <w:r w:rsidRPr="00C60006">
              <w:rPr>
                <w:rFonts w:ascii="Times New Roman" w:eastAsia="Times New Roman" w:hAnsi="Times New Roman" w:cs="Times New Roman"/>
                <w:sz w:val="20"/>
                <w:szCs w:val="20"/>
              </w:rPr>
              <w:t>redukcyjno</w:t>
            </w:r>
            <w:proofErr w:type="spellEnd"/>
            <w:r w:rsidRPr="00C60006">
              <w:rPr>
                <w:rFonts w:ascii="Times New Roman" w:eastAsia="Times New Roman" w:hAnsi="Times New Roman" w:cs="Times New Roman"/>
                <w:sz w:val="20"/>
                <w:szCs w:val="20"/>
              </w:rPr>
              <w:t>-pomiarowe (IG) oraz tereny zamknięte (TZW)</w:t>
            </w:r>
          </w:p>
          <w:p w14:paraId="6CF43EC3"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 granicach terenów zabudowy mieszkaniowej wielorodzinnej ustala się zakaz lokalizacji zabudowy usługowej o uciążliwym charakterze (m.in.: punktów skupu surowców wtórnych, obiektów obsługi motoryzacji, typu stacje paliw, stacje gazu płynnego, myjnie samochodowe, </w:t>
            </w:r>
            <w:r w:rsidRPr="00C60006">
              <w:rPr>
                <w:rFonts w:ascii="Times New Roman" w:eastAsia="Times New Roman" w:hAnsi="Times New Roman" w:cs="Times New Roman"/>
                <w:sz w:val="20"/>
                <w:szCs w:val="20"/>
              </w:rPr>
              <w:lastRenderedPageBreak/>
              <w:t>warsztaty naprawcze, lakiernie, itp.), które mogą spowodować okresowe lub stałe uciążliwości dla podstawowych funkcji terenu lub pogorszenie stanu środowiska jak hałas, wibracje, zanieczyszczenia powietrza i zanieczyszczenia odpadami oraz wymagają obsługi transportem o zwiększonym tonażu, itp.</w:t>
            </w:r>
          </w:p>
          <w:p w14:paraId="7118A5B7"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W związku z ochroną i kształtowaniem ładu przestrzennego zespoły budynków wielorodzinnych należy realizować w sposób zharmonizowany z zabudową mieszkaniową Osiedla Leśnego, które stanowi obszar zakwalifikowany do dóbr kultury współczesnej Bydgoszczy, w myśl zasady nawiązania do kompozycji i rozplanowania Osiedla Leśnego z dużym udziałem procentowym zieleni; zakaz lokalizacji obiektów tymczasowych (kioski, pawilony handlowe, wiaty, itp.)</w:t>
            </w:r>
          </w:p>
          <w:p w14:paraId="599A4674"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W zakresie ochrony środowiska, przyrody i krajobrazu kulturowego ustala się utrzymanie i ochronę wartościowego drzewostanu, zakaz lokalizacji obiektów o funkcjach, które mogą powodować okresowe lub stałe pogorszenie stanu środowiska w wyniku emisji hałasu, wibracji, pola elektromagnetycznego, zanieczyszczenia powietrza, wód, gleby i zanieczyszczenia odpadami, itp., w trakcie przygotowania i realizacji inwestycji konieczne jest oszczędne korzystanie z terenu oraz uwzględnienie potrzeb ochrony środowiska.</w:t>
            </w:r>
          </w:p>
          <w:p w14:paraId="0E8DBC6A"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Wyznaczona zostaje strefa „B” ochrony konserwatorskiej, dla obiektów zabytkowych, zlokalizowanych poza </w:t>
            </w:r>
            <w:proofErr w:type="spellStart"/>
            <w:r w:rsidRPr="00C60006">
              <w:rPr>
                <w:rFonts w:ascii="Times New Roman" w:eastAsia="Times New Roman" w:hAnsi="Times New Roman" w:cs="Times New Roman"/>
                <w:sz w:val="20"/>
                <w:szCs w:val="20"/>
              </w:rPr>
              <w:t>ww</w:t>
            </w:r>
            <w:proofErr w:type="spellEnd"/>
            <w:r w:rsidRPr="00C60006">
              <w:rPr>
                <w:rFonts w:ascii="Times New Roman" w:eastAsia="Times New Roman" w:hAnsi="Times New Roman" w:cs="Times New Roman"/>
                <w:sz w:val="20"/>
                <w:szCs w:val="20"/>
              </w:rPr>
              <w:t xml:space="preserve"> strefą ochrony konserwatorskiej wymagane jest zachowanie budynków z </w:t>
            </w:r>
            <w:r w:rsidRPr="00C60006">
              <w:rPr>
                <w:rFonts w:ascii="Times New Roman" w:eastAsia="Times New Roman" w:hAnsi="Times New Roman" w:cs="Times New Roman"/>
                <w:sz w:val="20"/>
                <w:szCs w:val="20"/>
              </w:rPr>
              <w:lastRenderedPageBreak/>
              <w:t>koniecznością przeprowadzenia ich konserwacji, rewaloryzacji i rekonstrukcji.</w:t>
            </w:r>
          </w:p>
          <w:p w14:paraId="6E81F40A"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 zakresie modernizacji, rozbudowy i budowy systemów komunikacji i infrastruktury technicznej: ustala się podstawowy układ dróg publicznych poprzez wyznaczenie: ulicy głównej ruchu przyspieszonego (13.KD-GP), ulicy zbiorczej (14.KD-Z), ulic lokalnych (12.KD-L i 10.KD-L), ponadto dopuszcza się etapowanie rozbudowy dróg publicznych oraz realizację dróg wewnętrznych w celu zapewnienia dojścia i dojazdu do działek oraz realizacji sieci infrastruktury technicznej; w pasach drogowych dopuszcza się zachowanie, remonty i rozbudowę istniejących oraz realizację nowych sieci i urządzeń infrastruktury technicznej; zaopatrzenie w wodę z istniejącej i projektowanej miejskiej sieci wodociągowej; odprowadzenie ścieków bytowych poprzez istniejącą i projektowaną sieć kanalizacji sanitarnej zlewni z odprowadzeniem na przepompownię a następnie na oczyszczalnię ścieków „Fordon”; odprowadzenie </w:t>
            </w:r>
            <w:proofErr w:type="spellStart"/>
            <w:r w:rsidRPr="00C60006">
              <w:rPr>
                <w:rFonts w:ascii="Times New Roman" w:eastAsia="Times New Roman" w:hAnsi="Times New Roman" w:cs="Times New Roman"/>
                <w:sz w:val="20"/>
                <w:szCs w:val="20"/>
              </w:rPr>
              <w:t>ściekó</w:t>
            </w:r>
            <w:proofErr w:type="spellEnd"/>
            <w:r w:rsidRPr="00C60006">
              <w:rPr>
                <w:rFonts w:ascii="Times New Roman" w:eastAsia="Times New Roman" w:hAnsi="Times New Roman" w:cs="Times New Roman"/>
                <w:sz w:val="20"/>
                <w:szCs w:val="20"/>
              </w:rPr>
              <w:fldChar w:fldCharType="begin"/>
            </w:r>
            <w:r w:rsidRPr="00C60006">
              <w:rPr>
                <w:rFonts w:ascii="Times New Roman" w:eastAsia="Times New Roman" w:hAnsi="Times New Roman" w:cs="Times New Roman"/>
                <w:sz w:val="20"/>
                <w:szCs w:val="20"/>
              </w:rPr>
              <w:instrText xml:space="preserve"> LISTNUM </w:instrText>
            </w:r>
            <w:r w:rsidRPr="00C60006">
              <w:rPr>
                <w:rFonts w:ascii="Times New Roman" w:eastAsia="Times New Roman" w:hAnsi="Times New Roman" w:cs="Times New Roman"/>
                <w:sz w:val="20"/>
                <w:szCs w:val="20"/>
              </w:rPr>
              <w:fldChar w:fldCharType="end">
                <w:numberingChange w:id="0" w:author="Kacprzak, Karolina, (mBank/DTB)" w:date="2024-09-13T16:08:00Z" w:original="–"/>
              </w:fldChar>
            </w:r>
            <w:proofErr w:type="spellStart"/>
            <w:r w:rsidRPr="00C60006">
              <w:rPr>
                <w:rFonts w:ascii="Times New Roman" w:eastAsia="Times New Roman" w:hAnsi="Times New Roman" w:cs="Times New Roman"/>
                <w:sz w:val="20"/>
                <w:szCs w:val="20"/>
              </w:rPr>
              <w:t>deszczowych</w:t>
            </w:r>
            <w:proofErr w:type="spellEnd"/>
            <w:r w:rsidRPr="00C60006">
              <w:rPr>
                <w:rFonts w:ascii="Times New Roman" w:eastAsia="Times New Roman" w:hAnsi="Times New Roman" w:cs="Times New Roman"/>
                <w:sz w:val="20"/>
                <w:szCs w:val="20"/>
              </w:rPr>
              <w:t xml:space="preserve"> istniejącymi i projektowanymi kanałami deszczowymi do zlewni kolektora z odpływem do rzeki Brdy; projektowany kolektor (K.18 i K.30) z odpływem do rzeki Brdy; urządzenia do retencjonowania wód opadowych i roztopowych należy lokalizować w granicach działki Inwestora; zaopatrzenie w gaz ziemny poprzez istniejącą i projektowaną sieć gazową średniego i niskiego ciśnienia, dopuszcza się wykorzystanie gazu w celach grzewczych; zaopatrzenie w ciepło z miejskiej sieci ciepłowniczej, w budynkach istniejących wskazana wymiana starych kotłów i pieców domowych na nowoczesne źródła ciepła; adaptacja istniejącej </w:t>
            </w:r>
            <w:r w:rsidRPr="00C60006">
              <w:rPr>
                <w:rFonts w:ascii="Times New Roman" w:eastAsia="Times New Roman" w:hAnsi="Times New Roman" w:cs="Times New Roman"/>
                <w:sz w:val="20"/>
                <w:szCs w:val="20"/>
              </w:rPr>
              <w:lastRenderedPageBreak/>
              <w:t xml:space="preserve">napowietrznej linii WN110kV z obowiązkiem wkomponowania jej w zagospodarowanie przestrzenne terenu, dopuszcza się jej przebudowę, dopuszcza się wykorzystanie innych ekologicznych źródeł energii; odpady komunalne, po wcześniejszej segregacji, należy przekazywać właściwym podmiotom; podłączenie do telefonii stacjonarnej poprzez istniejącą i projektowaną sieć teletechniczną, zabrania się budowy nowych oraz rozbudowy i wymiany istniejących napowietrznych linii telekomunikacyjnych, z wyłączeniem remontów istniejących napowietrznych przyłączy abonenckich, istniejące napowietrzne linie telefoniczne docelowo przewidziane do skablowania, zakaz lokalizacji wolno stojących masztów stacji bazowych telefonii komórkowej na terenach zabudowy mieszkaniowej i usługowej, dopuszcza się lokalizację masztów stacji bazowych telefonii komórkowej na dachach budynków usługowych.  </w:t>
            </w:r>
          </w:p>
          <w:p w14:paraId="0A7C130E"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 planie nr 232 ustala się m.in.: zakaz lokalizacji funkcji związanych ze zbieraniem odpadów, skupem i składowaniem surowców wtórnych, demontażem pojazdów, obsługi motoryzacji (np.: stacje paliw, stacje gazu płynnego, stacje kontroli i obsługi pojazdów, lakiernie, itp., handlu hurtowego, składów i magazynów, związanych ze spopielaniem zwłok. W zakresie ochrony i kształtowania ładu przestrzennego ustala się zakaz lokalizacji wolnostojących budynków gospodarczych, murów, wymagany wysoki standard architektoniczny i estetyczny budynków oraz wszystkich elementów zagospodarowania terenu, obowiązuje zakaz montowania na elewacjach budynków anten satelitarnych, urządzeń </w:t>
            </w:r>
            <w:r w:rsidRPr="00C60006">
              <w:rPr>
                <w:rFonts w:ascii="Times New Roman" w:eastAsia="Times New Roman" w:hAnsi="Times New Roman" w:cs="Times New Roman"/>
                <w:sz w:val="20"/>
                <w:szCs w:val="20"/>
              </w:rPr>
              <w:lastRenderedPageBreak/>
              <w:t>klimatyzacyjnych, kominów stalowych, okablowania, skrzynek elektrycznych, telekomunikacyjnych, gazowych; dopuszcza się sytuowanie urządzeń wcześniej wymienionych na dachach lub w specjalnie przygotowanych wnękach. W zakresie ochrony środowiska, przyrody i krajobrazu obowiązuje zakaz lokalizacji przedsięwzięć mogących zawsze lub potencjalnie znacząco oddziaływać na środowisko; zadrzewienia, zakrzaczenia oraz zbiornik wodny są siedliskiem zwierząt podlegających ochronie; nie ustala się zasad kształtowania krajobrazu; wyznacza się strefę „B” ochrony konserwatorskiej, równoznaczną z zasięgiem strefy „W” ochrony archeologicznej, obejmującą cały obszar opracowania planu.</w:t>
            </w:r>
          </w:p>
          <w:p w14:paraId="54F3B775"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W granicach obszaru objętego planem nie występują: tereny górnicze, obszary szczególnego zagrożenia powodzią, obszary osuwania się mas ziemnych</w:t>
            </w:r>
          </w:p>
          <w:p w14:paraId="24D1E643"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Obszar objęty planem położony jest w granicach Głównego Zbiornika Wód Podziemnych nr 140 pn. </w:t>
            </w:r>
            <w:proofErr w:type="spellStart"/>
            <w:r w:rsidRPr="00C60006">
              <w:rPr>
                <w:rFonts w:ascii="Times New Roman" w:eastAsia="Times New Roman" w:hAnsi="Times New Roman" w:cs="Times New Roman"/>
                <w:sz w:val="20"/>
                <w:szCs w:val="20"/>
              </w:rPr>
              <w:t>Subzbiornik</w:t>
            </w:r>
            <w:proofErr w:type="spellEnd"/>
            <w:r w:rsidRPr="00C60006">
              <w:rPr>
                <w:rFonts w:ascii="Times New Roman" w:eastAsia="Times New Roman" w:hAnsi="Times New Roman" w:cs="Times New Roman"/>
                <w:sz w:val="20"/>
                <w:szCs w:val="20"/>
              </w:rPr>
              <w:t xml:space="preserve"> Bydgoszcz.</w:t>
            </w:r>
          </w:p>
          <w:p w14:paraId="237B5B41"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Obowiązują nieprzekraczalne ograniczenia wysokości obiektów budowlanych wraz z umieszczonymi na nich urządzeniami oraz obiektów naturalnych (lotnisko Bydgoszcz – Szwederowo); dopuszcza się etapowanie budowy i rozbudowy ulic; obowiązuje powiązanie istniejących i projektowanych sieci infrastruktury technicznej z systemem zewnętrznym; podstawowy system zaopatrzenia w wodę stanowi zbiorcza sieć wodociągowa; podstawowy system odprowadzenia ścieków komunalnych stanowi zbiorcza sieć kanalizacji sanitarnej; podstawowy system odprowadzenia nadmiaru wód </w:t>
            </w:r>
            <w:r w:rsidRPr="00C60006">
              <w:rPr>
                <w:rFonts w:ascii="Times New Roman" w:eastAsia="Times New Roman" w:hAnsi="Times New Roman" w:cs="Times New Roman"/>
                <w:sz w:val="20"/>
                <w:szCs w:val="20"/>
              </w:rPr>
              <w:lastRenderedPageBreak/>
              <w:t>opadowych i roztopowych stanowią zbiorcze kanały i kolektory deszczowe lub lokalny zbiornik wodny; podstawowy system zaopatrzenia w gaz stanowią zbiorcze sieci gazowe średniego i niskiego ciśnienia, dopuszcza się wykorzystanie gazu do celów grzewczych; podstawowy system zaopatrzenia w ciepło stanowią zbiorcze sieci ciepłownicze, zabrania się stosowania indywidualnych instalacji grzewczych na paliwa stałe; podstawowy system zaopatrzenia w energię elektryczną stanowią przewody i urządzenia przedsiębiorstwa energetycznego; podstawowy system telekomunikacyjny stanowią przewody i urządzenia teletechniczne i/lub przekaz sygnału za pomocą urządzeń odbiorczo-nadawczych.</w:t>
            </w:r>
          </w:p>
          <w:p w14:paraId="4E6887F5"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Tereny przeznacza się pod: zieleń urządzoną, zabudowę usługową – obiekty użyteczności publicznej z zakresu nauki i szkolnictwa wyższego, kultury i sztuki (1.ZP-UP), zabudowę mieszkaniową wielorodzinną, zabudowę usługową (2.MW-U), infrastrukturę elektroenergetyczną – główny punkt zasilania WN/SN „Północ” (3.IE), drogę publiczną – ulicę klasy dojazdowej (4.KDD).</w:t>
            </w:r>
          </w:p>
          <w:p w14:paraId="1B349673"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 planie nr 188 ustala się następujące przeznaczenie terenu: teren zabudowy usługowej z zakresu nauki i szkolnictwa wyższego, kultury, sztuki, muzealnictwa, sportu, rekreacji, administracji, zdrowia oraz dopuszcza się lokalizację uzupełniających funkcji usługowych, m.in. handlowych, gastronomicznych, wzbogacających podstawowe przeznaczenie terenu (1.U); teren zabudowy mieszkaniowej wielorodzinnej, zabudowy usługowej (2.MW-U, 4.MW-U, 5.MW-U, </w:t>
            </w:r>
            <w:r w:rsidRPr="00C60006">
              <w:rPr>
                <w:rFonts w:ascii="Times New Roman" w:eastAsia="Times New Roman" w:hAnsi="Times New Roman" w:cs="Times New Roman"/>
                <w:sz w:val="20"/>
                <w:szCs w:val="20"/>
              </w:rPr>
              <w:lastRenderedPageBreak/>
              <w:t xml:space="preserve">6.MW-U, 7.MW-U, 9.MW-U); teren zabudowy usługowej, teren rozmieszczenia obiektów handlowych o </w:t>
            </w:r>
            <w:proofErr w:type="spellStart"/>
            <w:r w:rsidRPr="00C60006">
              <w:rPr>
                <w:rFonts w:ascii="Times New Roman" w:eastAsia="Times New Roman" w:hAnsi="Times New Roman" w:cs="Times New Roman"/>
                <w:sz w:val="20"/>
                <w:szCs w:val="20"/>
              </w:rPr>
              <w:t>pow</w:t>
            </w:r>
            <w:proofErr w:type="spellEnd"/>
            <w:r w:rsidRPr="00C60006">
              <w:rPr>
                <w:rFonts w:ascii="Times New Roman" w:eastAsia="Times New Roman" w:hAnsi="Times New Roman" w:cs="Times New Roman"/>
                <w:sz w:val="20"/>
                <w:szCs w:val="20"/>
              </w:rPr>
              <w:t xml:space="preserve"> sprzedaży powyżej 2000m</w:t>
            </w:r>
            <w:r w:rsidRPr="00C60006">
              <w:rPr>
                <w:rFonts w:ascii="Times New Roman" w:eastAsia="Times New Roman" w:hAnsi="Times New Roman" w:cs="Times New Roman"/>
                <w:sz w:val="20"/>
                <w:szCs w:val="20"/>
                <w:vertAlign w:val="superscript"/>
              </w:rPr>
              <w:t>2</w:t>
            </w:r>
            <w:r w:rsidRPr="00C60006">
              <w:rPr>
                <w:rFonts w:ascii="Times New Roman" w:eastAsia="Times New Roman" w:hAnsi="Times New Roman" w:cs="Times New Roman"/>
                <w:sz w:val="20"/>
                <w:szCs w:val="20"/>
              </w:rPr>
              <w:t xml:space="preserve"> (3.U-UC, 10.U-UC); teren zabudowy usługowej z zakresu oświaty, nauki i szkolnictwa wyższego, opieki społecznej, w tym przedszkoli i żłobków (8.UO); teren zieleni urządzonej, ogólnodostępnej – park miejski, zabudowa usługowa z zakresu: nauki w tym szkolnictwa wyższego, kultury, muzealnictwa, sportu, gastronomii (11.ZP-U); teren zabudowy usługowej (26.U); teren infrastruktury elektroenergetycznej – główny punkt zasilania WN/SN „Północ” (12.IE); teren infrastruktury kanalizacyjnej – przepompownia ścieków komunalnych, teren infrastruktury elektroenergetycznej – rezerwa terenu pod ułożenie linii kablowej wysokiego napięcia (13.IKs/IE); teren drogi publicznej – fragment drogi klasy głównej ruchu przyspieszonego – rezerwa terenu pod rozbudowę ulicy klasy głównej ruchu przyspieszonego (19.KD-GP); teren drogi publicznej – fragment drogi klasy głównej, rezerwa terenu pod poszerzenie ulicy klasy głównej (20.KD-G); teren drogi publicznej – ulica klasy lokalnej z torowiskiem tramwajowym (21.KD-L/KD-T); tereny dróg publicznych – ulice klasy dojazdowej (14.KD-D; 15.KD-D; 16.KD-D; 17.KD-D; 18.KD-D); teren publiczny – ciąg pieszy (27.KPX); tereny infrastruktury elektroenergetycznej – stacje transformatorowe (22.IE, 23.IE, 24.IE, 25.IE)</w:t>
            </w:r>
          </w:p>
          <w:p w14:paraId="4B7C8874"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Ponadto ustala się zakaz lokalizacji: składów, obiektów z zakresu obsługi motoryzacyjnej typu stacje paliw, stacje gazu płynnego, stacje diagnostyki samochodowej, myjnie samochodowe, warsztaty naprawcze, </w:t>
            </w:r>
            <w:r w:rsidRPr="00C60006">
              <w:rPr>
                <w:rFonts w:ascii="Times New Roman" w:eastAsia="Times New Roman" w:hAnsi="Times New Roman" w:cs="Times New Roman"/>
                <w:sz w:val="20"/>
                <w:szCs w:val="20"/>
              </w:rPr>
              <w:lastRenderedPageBreak/>
              <w:t xml:space="preserve">lakiernie itp., oraz obiektów usługowych, handlowych lub gastronomicznych w formie budynków wolnostojących o </w:t>
            </w:r>
            <w:proofErr w:type="spellStart"/>
            <w:r w:rsidRPr="00C60006">
              <w:rPr>
                <w:rFonts w:ascii="Times New Roman" w:eastAsia="Times New Roman" w:hAnsi="Times New Roman" w:cs="Times New Roman"/>
                <w:sz w:val="20"/>
                <w:szCs w:val="20"/>
              </w:rPr>
              <w:t>pow</w:t>
            </w:r>
            <w:proofErr w:type="spellEnd"/>
            <w:r w:rsidRPr="00C60006">
              <w:rPr>
                <w:rFonts w:ascii="Times New Roman" w:eastAsia="Times New Roman" w:hAnsi="Times New Roman" w:cs="Times New Roman"/>
                <w:sz w:val="20"/>
                <w:szCs w:val="20"/>
              </w:rPr>
              <w:t xml:space="preserve"> zabudowy mniejszej niż 100m</w:t>
            </w:r>
            <w:r w:rsidRPr="00C60006">
              <w:rPr>
                <w:rFonts w:ascii="Times New Roman" w:eastAsia="Times New Roman" w:hAnsi="Times New Roman" w:cs="Times New Roman"/>
                <w:sz w:val="20"/>
                <w:szCs w:val="20"/>
                <w:vertAlign w:val="superscript"/>
              </w:rPr>
              <w:t>2</w:t>
            </w:r>
            <w:r w:rsidRPr="00C60006">
              <w:rPr>
                <w:rFonts w:ascii="Times New Roman" w:eastAsia="Times New Roman" w:hAnsi="Times New Roman" w:cs="Times New Roman"/>
                <w:sz w:val="20"/>
                <w:szCs w:val="20"/>
              </w:rPr>
              <w:t xml:space="preserve"> oraz jako tymczasowych obiektów budowlanych; wolnostojących budynków gospodarczych i garażowych, ogrodzeń pełnych, murów.</w:t>
            </w:r>
          </w:p>
          <w:p w14:paraId="038B9958"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 zakresie parametrów i wskaźników kształtowania zabudowy i zagospodarowania terenu ustala się: realizację parkingów terenowych z uwzględnieniem </w:t>
            </w:r>
            <w:proofErr w:type="spellStart"/>
            <w:r w:rsidRPr="00C60006">
              <w:rPr>
                <w:rFonts w:ascii="Times New Roman" w:eastAsia="Times New Roman" w:hAnsi="Times New Roman" w:cs="Times New Roman"/>
                <w:sz w:val="20"/>
                <w:szCs w:val="20"/>
              </w:rPr>
              <w:t>nasadzeń</w:t>
            </w:r>
            <w:proofErr w:type="spellEnd"/>
            <w:r w:rsidRPr="00C60006">
              <w:rPr>
                <w:rFonts w:ascii="Times New Roman" w:eastAsia="Times New Roman" w:hAnsi="Times New Roman" w:cs="Times New Roman"/>
                <w:sz w:val="20"/>
                <w:szCs w:val="20"/>
              </w:rPr>
              <w:t xml:space="preserve"> zieleni w tym krzewów i drzew – każde 10 </w:t>
            </w:r>
            <w:proofErr w:type="spellStart"/>
            <w:r w:rsidRPr="00C60006">
              <w:rPr>
                <w:rFonts w:ascii="Times New Roman" w:eastAsia="Times New Roman" w:hAnsi="Times New Roman" w:cs="Times New Roman"/>
                <w:sz w:val="20"/>
                <w:szCs w:val="20"/>
              </w:rPr>
              <w:t>mp</w:t>
            </w:r>
            <w:proofErr w:type="spellEnd"/>
            <w:r w:rsidRPr="00C60006">
              <w:rPr>
                <w:rFonts w:ascii="Times New Roman" w:eastAsia="Times New Roman" w:hAnsi="Times New Roman" w:cs="Times New Roman"/>
                <w:sz w:val="20"/>
                <w:szCs w:val="20"/>
              </w:rPr>
              <w:t xml:space="preserve"> zostanie rozdzielone pasem zieleni o min szerokości 2m i na każde 10 </w:t>
            </w:r>
            <w:proofErr w:type="spellStart"/>
            <w:r w:rsidRPr="00C60006">
              <w:rPr>
                <w:rFonts w:ascii="Times New Roman" w:eastAsia="Times New Roman" w:hAnsi="Times New Roman" w:cs="Times New Roman"/>
                <w:sz w:val="20"/>
                <w:szCs w:val="20"/>
              </w:rPr>
              <w:t>mp</w:t>
            </w:r>
            <w:proofErr w:type="spellEnd"/>
            <w:r w:rsidRPr="00C60006">
              <w:rPr>
                <w:rFonts w:ascii="Times New Roman" w:eastAsia="Times New Roman" w:hAnsi="Times New Roman" w:cs="Times New Roman"/>
                <w:sz w:val="20"/>
                <w:szCs w:val="20"/>
              </w:rPr>
              <w:t xml:space="preserve"> przypadać będzie 1 drzewo wkomponowane w zagospodarowanie parkingu.</w:t>
            </w:r>
          </w:p>
          <w:p w14:paraId="1D867839"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Zakaz realizacji przedsięwzięć mogących zawsze lub potencjalnie znacząco oddziaływać na środowisko z wyjątkiem zabudowy mieszkaniowej wraz z towarzyszącą infrastrukturą; zaopatrzenie w wodę ze zbiorczej sieci wodociągowej lub innych źródeł; wymagane kształtowanie zabudowy i zagospodarowania terenu w sposób zmierzający do ochrony budynków przed nadmiernym hałasem i drganiami.</w:t>
            </w:r>
          </w:p>
          <w:p w14:paraId="4ABEDF79"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Wskazuje się obiekt wpisany do rejestru zabytków (Chodkiewicza 21); wyznacza się strefę „B” ochrony konserwatorskiej równoznaczną z zasięgiem strefy „W” ochrony archeologicznej; ustala się dostosowanie nowej zabudowy do historycznej kompozycji urbanistycznej kwartałów śródmiejskich.</w:t>
            </w:r>
          </w:p>
          <w:p w14:paraId="17900AB6"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Nie ustala się granic i sposobów zagospodarowania terenów lub obiektów podlegających ochronie, </w:t>
            </w:r>
            <w:r w:rsidRPr="00C60006">
              <w:rPr>
                <w:rFonts w:ascii="Times New Roman" w:eastAsia="Times New Roman" w:hAnsi="Times New Roman" w:cs="Times New Roman"/>
                <w:sz w:val="20"/>
                <w:szCs w:val="20"/>
              </w:rPr>
              <w:lastRenderedPageBreak/>
              <w:t>ustalonych na podstawie odrębnych przepisów, w tym terenów górniczych, a także obszarów szczególnego zagrożenia powodzią oraz obszarów osuwania się mas ziemnych.</w:t>
            </w:r>
          </w:p>
          <w:p w14:paraId="0BF7B539"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Na rysunku planu wskazuje się: obiekty zabytkowe wpisane do rejestru i ewidencji zabytków; linie wyznaczające rzędne wysokościowe i powierzchnie ograniczające wysokość zabudowy i obiektów naturalnych w rejonie lotniska Bydgoszcz-Szwederowo, określone na podstawie dokumentacji rejestracyjnej lotniska; oś widokową; napowietrzną linię elektroenergetyczną wysokiego napięcia WN 110kV; strefa potencjalnego oddziaływania napowietrznej lub kablowej linii WN 110kV; projektowany szpaler drzew; orientacyjny układ jezdni.</w:t>
            </w:r>
          </w:p>
          <w:p w14:paraId="38EFFBA9"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Zaopatrzenie w wodę poprzez system zbiorczej sieci wodociągowej; odprowadzenie ścieków komunalnych poprzez system zbiorczej kanalizacji sanitarnej; odprowadzenie wód opadowych i roztopowych poprzez system zbiorczej kanalizacji deszczowej; zaopatrzenie w gaz poprzez system zbiorczych sieci gazowych średniego i niskiego ciśnienia; zaopatrzenie w ciepło poprzez zbiorczy system sieci ciepłowniczych z miejskiej sieci ciepłowniczej, dopuszcza się zaopatrzenie w energię cieplną na zasadach indywidualnych z możliwością wykorzystania gazu z sieci gazowej, oleju opałowego, energii elektrycznej, źródeł energii odnawialnej oraz innych paliw przy zastosowaniu instalacji i urządzeń wykorzystujących niskoemisyjne technologie spalania; w istniejących budynkach wymagana wymiana starych kotłów i pieców domowych opalanych węglem (drewnem) na </w:t>
            </w:r>
            <w:r w:rsidRPr="00C60006">
              <w:rPr>
                <w:rFonts w:ascii="Times New Roman" w:eastAsia="Times New Roman" w:hAnsi="Times New Roman" w:cs="Times New Roman"/>
                <w:sz w:val="20"/>
                <w:szCs w:val="20"/>
              </w:rPr>
              <w:lastRenderedPageBreak/>
              <w:t>nowoczesne urządzenia grzewcze; zasilanie obiektów z istniejących i projektowanych stacji transformatorowych poprzez istniejące i projektowane linie kablowe niskiego napięcia; podłączenie do linii i urządzeń sieci telekomunikacyjnej – poprzez istniejącą i projektowaną teletechniczną, nowe, rozbudowywane, i wymieniane linie telekomunikacyjne realizować należy jako przewody podziemne.</w:t>
            </w:r>
          </w:p>
          <w:p w14:paraId="699665D2"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 planie nr 230 wyznaczono na rysunku m.in.: obowiązującą linię zabudowy o wysokości do 35m, nieprzekraczalną linię zabudowy do 35m, zieleń izolacyjną; informacyjnie: granicę obszaru wpisanego do ewidencji zabytków, obiekty zabytkowe wpisane do rejestru i ewidencji zabytków, linię wyznaczająca powierzchnię ograniczającą przeszkody dla Lotniska Bydgoszcz-Szwederowo, istniejącą, napowietrzną linię elektroenergetyczną WN 110kV przeznaczoną do skablowania, granicę obszaru potencjalnego oddziaływania istniejącej, napowietrznej linii elektroenergetycznej WN 110kV, orientacyjna granica obszaru obsługi technicznej podziemnej, kablowej linii elektroenergetycznej WN 110kV, granicę obszarów o szczególnych warunkach zagospodarowania terenu położonego w sąsiedztwie obszaru kolejowego, granicę obszarów o szczególnych warunkach zagospodarowania obejmującą tereny położone w sąsiedztwie cmentarza. </w:t>
            </w:r>
          </w:p>
          <w:p w14:paraId="49CD2AEA"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Zasady ochrony i kształtowania ładu przestrzennego określają m.in. kształtowanie zabudowy i zagospodarowania terenu z uwzględnieniem zasad kompozycji urbanistycznej charakterystycznej dla kwartałów zabudowy śródmiejskiej, </w:t>
            </w:r>
            <w:r w:rsidRPr="00C60006">
              <w:rPr>
                <w:rFonts w:ascii="Times New Roman" w:eastAsia="Times New Roman" w:hAnsi="Times New Roman" w:cs="Times New Roman"/>
                <w:sz w:val="20"/>
                <w:szCs w:val="20"/>
              </w:rPr>
              <w:lastRenderedPageBreak/>
              <w:t xml:space="preserve">zharmonizowanie nowoprojektowanej zabudowy z zabudową śródmiejską lub zespołami zabudowy historycznej, zakaz lokalizacji: wolnostojących budynków gospodarczych, anten satelitarnych i urządzeń klimatyzacyjnych, skrzynek elektrycznych, telekomunikacyjnych i gazowych na elewacjach budynków; zachowanie istniejących i lokalizację nowych </w:t>
            </w:r>
            <w:proofErr w:type="spellStart"/>
            <w:r w:rsidRPr="00C60006">
              <w:rPr>
                <w:rFonts w:ascii="Times New Roman" w:eastAsia="Times New Roman" w:hAnsi="Times New Roman" w:cs="Times New Roman"/>
                <w:sz w:val="20"/>
                <w:szCs w:val="20"/>
              </w:rPr>
              <w:t>przedogródków</w:t>
            </w:r>
            <w:proofErr w:type="spellEnd"/>
            <w:r w:rsidRPr="00C60006">
              <w:rPr>
                <w:rFonts w:ascii="Times New Roman" w:eastAsia="Times New Roman" w:hAnsi="Times New Roman" w:cs="Times New Roman"/>
                <w:sz w:val="20"/>
                <w:szCs w:val="20"/>
              </w:rPr>
              <w:t xml:space="preserve"> </w:t>
            </w:r>
          </w:p>
          <w:p w14:paraId="5EF435FD"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W zakresie ochrony środowiska, przyrody i krajobrazu:</w:t>
            </w:r>
          </w:p>
          <w:p w14:paraId="59C802BA" w14:textId="77777777" w:rsidR="005A64E9" w:rsidRPr="00C60006" w:rsidRDefault="005A64E9" w:rsidP="005A64E9">
            <w:pPr>
              <w:spacing w:beforeLines="60" w:before="144" w:afterLines="60" w:after="144" w:line="276" w:lineRule="auto"/>
              <w:jc w:val="both"/>
              <w:rPr>
                <w:rFonts w:ascii="Times New Roman" w:hAnsi="Times New Roman" w:cs="Times New Roman"/>
                <w:sz w:val="20"/>
              </w:rPr>
            </w:pPr>
            <w:r w:rsidRPr="00C60006">
              <w:rPr>
                <w:rFonts w:ascii="Times New Roman" w:hAnsi="Times New Roman" w:cs="Times New Roman"/>
                <w:sz w:val="20"/>
              </w:rPr>
              <w:t>- obowiązuje zakaz lokalizacji przedsięwzięć mogących zawsze i potencjalnie znacząco oddziaływać na środowisko, w rozumieniu przepisów odrębnych z zakresu ochrony środowiska, z wyłączeniem lokalizacji inwestycji celu publicznego oraz inwestycji zgodnych z przeznaczeniem terenów określonym w planie, w tym zabudowy mieszkaniowej wraz z towarzyszącą jej infrastrukturą, garaży i parkingów;</w:t>
            </w:r>
          </w:p>
          <w:p w14:paraId="691D6EE9" w14:textId="77777777" w:rsidR="005A64E9" w:rsidRPr="00C60006" w:rsidRDefault="005A64E9" w:rsidP="005A64E9">
            <w:pPr>
              <w:spacing w:beforeLines="60" w:before="144" w:afterLines="60" w:after="144" w:line="276" w:lineRule="auto"/>
              <w:jc w:val="both"/>
              <w:rPr>
                <w:rFonts w:ascii="Times New Roman" w:hAnsi="Times New Roman" w:cs="Times New Roman"/>
                <w:sz w:val="20"/>
              </w:rPr>
            </w:pPr>
            <w:r w:rsidRPr="00C60006">
              <w:rPr>
                <w:rFonts w:ascii="Times New Roman" w:hAnsi="Times New Roman" w:cs="Times New Roman"/>
                <w:sz w:val="20"/>
              </w:rPr>
              <w:t xml:space="preserve">- w rozumieniu przepisów dotyczących ochrony przed hałasem, tereny oznaczone symbolami MW-U i UP należy kwalifikować jako tereny położone w strefie śródmiejskiej miast pow. 100 </w:t>
            </w:r>
            <w:proofErr w:type="spellStart"/>
            <w:r w:rsidRPr="00C60006">
              <w:rPr>
                <w:rFonts w:ascii="Times New Roman" w:hAnsi="Times New Roman" w:cs="Times New Roman"/>
                <w:sz w:val="20"/>
              </w:rPr>
              <w:t>tys</w:t>
            </w:r>
            <w:proofErr w:type="spellEnd"/>
            <w:r w:rsidRPr="00C60006">
              <w:rPr>
                <w:rFonts w:ascii="Times New Roman" w:hAnsi="Times New Roman" w:cs="Times New Roman"/>
                <w:sz w:val="20"/>
              </w:rPr>
              <w:t xml:space="preserve"> mieszkańców;</w:t>
            </w:r>
          </w:p>
          <w:p w14:paraId="2934DC94" w14:textId="77777777" w:rsidR="005A64E9" w:rsidRPr="00C60006" w:rsidRDefault="005A64E9" w:rsidP="005A64E9">
            <w:pPr>
              <w:spacing w:beforeLines="60" w:before="144" w:afterLines="60" w:after="144" w:line="276" w:lineRule="auto"/>
              <w:jc w:val="both"/>
              <w:rPr>
                <w:rFonts w:ascii="Times New Roman" w:hAnsi="Times New Roman" w:cs="Times New Roman"/>
                <w:sz w:val="20"/>
              </w:rPr>
            </w:pPr>
            <w:r w:rsidRPr="00C60006">
              <w:rPr>
                <w:rFonts w:ascii="Times New Roman" w:hAnsi="Times New Roman" w:cs="Times New Roman"/>
                <w:sz w:val="20"/>
              </w:rPr>
              <w:t>- wymagane kształtowanie zabudowy i zagospodarowania terenów w sposób zmierzający do ochrony budynków przed nadmiernym hałasem i drganiami, m.in. poprzez zastosowanie rozwiązań technicznych zapewniających podwyższoną izolacyjność przegród i okien w budynkach usytuowanych w bezpośrednim sąsiedztwie ulic Zygmunta Augusta i Artyleryjskiej.</w:t>
            </w:r>
          </w:p>
          <w:p w14:paraId="6BFEDDE0"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Na rysunku planu wskazuje się obszar wpisany do ewidencji zabytków i zabudowę zabytkową: wpisaną do </w:t>
            </w:r>
            <w:r w:rsidRPr="00C60006">
              <w:rPr>
                <w:rFonts w:ascii="Times New Roman" w:eastAsia="Times New Roman" w:hAnsi="Times New Roman" w:cs="Times New Roman"/>
                <w:sz w:val="20"/>
                <w:szCs w:val="20"/>
              </w:rPr>
              <w:lastRenderedPageBreak/>
              <w:t xml:space="preserve">rejestru zabytków woj. Kujawsko – pomorskiego, objętą ochroną na podstawie przepisów odrębnych, wpisaną do ewidencji zabytków; wyznacza się strefę ochrony konserwatorskiej „B”, pokrywającą się z zasięgiem strefy ochrony konserwatorskiej stanowiska archeologicznego „W”, obejmującą cały obszar opracowania planu, w granicach której obowiązuje: zachowanie proporcji wysokościowych zabudowy kształtującą sylwetkę zespołu zabudowy śródmiejskiej, dostosowanie nowej zabudowy do historycznej kompozycji urbanistycznej z założeniem harmonijnego współistnienia elementów historycznych i współczesnych, zachowania historycznego rozplanowania ulic i ich szerokości, zachowanie historycznie ukształtowanych linii zabudowy, zachowanie i rewaloryzacja zieleni komponowanej, w tym </w:t>
            </w:r>
            <w:proofErr w:type="spellStart"/>
            <w:r w:rsidRPr="00C60006">
              <w:rPr>
                <w:rFonts w:ascii="Times New Roman" w:eastAsia="Times New Roman" w:hAnsi="Times New Roman" w:cs="Times New Roman"/>
                <w:sz w:val="20"/>
                <w:szCs w:val="20"/>
              </w:rPr>
              <w:t>przedogródków</w:t>
            </w:r>
            <w:proofErr w:type="spellEnd"/>
            <w:r w:rsidRPr="00C60006">
              <w:rPr>
                <w:rFonts w:ascii="Times New Roman" w:eastAsia="Times New Roman" w:hAnsi="Times New Roman" w:cs="Times New Roman"/>
                <w:sz w:val="20"/>
                <w:szCs w:val="20"/>
              </w:rPr>
              <w:t xml:space="preserve">, usytuowanych przed budynkami wzdłuż ciągów komunikacyjnych, zachowanie budynków wpisanych do ewidencji zabytków o funkcji mieszkalnej i usługowej z możliwością ich przebudowy, rozbudowy i nadbudowy, z wyłączeniem budynków usytuowanych w granicach działek: nr </w:t>
            </w:r>
            <w:proofErr w:type="spellStart"/>
            <w:r w:rsidRPr="00C60006">
              <w:rPr>
                <w:rFonts w:ascii="Times New Roman" w:eastAsia="Times New Roman" w:hAnsi="Times New Roman" w:cs="Times New Roman"/>
                <w:sz w:val="20"/>
                <w:szCs w:val="20"/>
              </w:rPr>
              <w:t>ewid</w:t>
            </w:r>
            <w:proofErr w:type="spellEnd"/>
            <w:r w:rsidRPr="00C60006">
              <w:rPr>
                <w:rFonts w:ascii="Times New Roman" w:eastAsia="Times New Roman" w:hAnsi="Times New Roman" w:cs="Times New Roman"/>
                <w:sz w:val="20"/>
                <w:szCs w:val="20"/>
              </w:rPr>
              <w:t>. 27 (</w:t>
            </w:r>
            <w:proofErr w:type="spellStart"/>
            <w:r w:rsidRPr="00C60006">
              <w:rPr>
                <w:rFonts w:ascii="Times New Roman" w:eastAsia="Times New Roman" w:hAnsi="Times New Roman" w:cs="Times New Roman"/>
                <w:sz w:val="20"/>
                <w:szCs w:val="20"/>
              </w:rPr>
              <w:t>obr</w:t>
            </w:r>
            <w:proofErr w:type="spellEnd"/>
            <w:r w:rsidRPr="00C60006">
              <w:rPr>
                <w:rFonts w:ascii="Times New Roman" w:eastAsia="Times New Roman" w:hAnsi="Times New Roman" w:cs="Times New Roman"/>
                <w:sz w:val="20"/>
                <w:szCs w:val="20"/>
              </w:rPr>
              <w:t xml:space="preserve">. 118) przy ul. Rycerskiej 20, nr </w:t>
            </w:r>
            <w:proofErr w:type="spellStart"/>
            <w:r w:rsidRPr="00C60006">
              <w:rPr>
                <w:rFonts w:ascii="Times New Roman" w:eastAsia="Times New Roman" w:hAnsi="Times New Roman" w:cs="Times New Roman"/>
                <w:sz w:val="20"/>
                <w:szCs w:val="20"/>
              </w:rPr>
              <w:t>ewid</w:t>
            </w:r>
            <w:proofErr w:type="spellEnd"/>
            <w:r w:rsidRPr="00C60006">
              <w:rPr>
                <w:rFonts w:ascii="Times New Roman" w:eastAsia="Times New Roman" w:hAnsi="Times New Roman" w:cs="Times New Roman"/>
                <w:sz w:val="20"/>
                <w:szCs w:val="20"/>
              </w:rPr>
              <w:t xml:space="preserve"> 35/8 (</w:t>
            </w:r>
            <w:proofErr w:type="spellStart"/>
            <w:r w:rsidRPr="00C60006">
              <w:rPr>
                <w:rFonts w:ascii="Times New Roman" w:eastAsia="Times New Roman" w:hAnsi="Times New Roman" w:cs="Times New Roman"/>
                <w:sz w:val="20"/>
                <w:szCs w:val="20"/>
              </w:rPr>
              <w:t>obr</w:t>
            </w:r>
            <w:proofErr w:type="spellEnd"/>
            <w:r w:rsidRPr="00C60006">
              <w:rPr>
                <w:rFonts w:ascii="Times New Roman" w:eastAsia="Times New Roman" w:hAnsi="Times New Roman" w:cs="Times New Roman"/>
                <w:sz w:val="20"/>
                <w:szCs w:val="20"/>
              </w:rPr>
              <w:t xml:space="preserve">. 126) przy ul. Pomorskiej 88f, nr </w:t>
            </w:r>
            <w:proofErr w:type="spellStart"/>
            <w:r w:rsidRPr="00C60006">
              <w:rPr>
                <w:rFonts w:ascii="Times New Roman" w:eastAsia="Times New Roman" w:hAnsi="Times New Roman" w:cs="Times New Roman"/>
                <w:sz w:val="20"/>
                <w:szCs w:val="20"/>
              </w:rPr>
              <w:t>ewid</w:t>
            </w:r>
            <w:proofErr w:type="spellEnd"/>
            <w:r w:rsidRPr="00C60006">
              <w:rPr>
                <w:rFonts w:ascii="Times New Roman" w:eastAsia="Times New Roman" w:hAnsi="Times New Roman" w:cs="Times New Roman"/>
                <w:sz w:val="20"/>
                <w:szCs w:val="20"/>
              </w:rPr>
              <w:t>. 138 (</w:t>
            </w:r>
            <w:proofErr w:type="spellStart"/>
            <w:r w:rsidRPr="00C60006">
              <w:rPr>
                <w:rFonts w:ascii="Times New Roman" w:eastAsia="Times New Roman" w:hAnsi="Times New Roman" w:cs="Times New Roman"/>
                <w:sz w:val="20"/>
                <w:szCs w:val="20"/>
              </w:rPr>
              <w:t>obr</w:t>
            </w:r>
            <w:proofErr w:type="spellEnd"/>
            <w:r w:rsidRPr="00C60006">
              <w:rPr>
                <w:rFonts w:ascii="Times New Roman" w:eastAsia="Times New Roman" w:hAnsi="Times New Roman" w:cs="Times New Roman"/>
                <w:sz w:val="20"/>
                <w:szCs w:val="20"/>
              </w:rPr>
              <w:t xml:space="preserve">. 126) przy ul. Gdańskiej 145, przeznaczonych częściowo pod rozbudowę układu komunikacyjnego, rewaloryzacja zespołu zabudowy pn. Bydgoski Londynek w historycznym układzie przestrzennym w granicach obszaru wpisanego do ewidencji zabytków: utrzymanie istniejącej zabudowy zabytkowej oznaczonej na rysunku planu, przebudowy, rozbudowy, nadbudowy istniejących </w:t>
            </w:r>
            <w:r w:rsidRPr="00C60006">
              <w:rPr>
                <w:rFonts w:ascii="Times New Roman" w:eastAsia="Times New Roman" w:hAnsi="Times New Roman" w:cs="Times New Roman"/>
                <w:sz w:val="20"/>
                <w:szCs w:val="20"/>
              </w:rPr>
              <w:lastRenderedPageBreak/>
              <w:t>budynków realizować w nawiązaniu do skali, gabarytów i charakteru zabudowy; lokalizacja nowej zabudowy w nawiązaniu do historycznego rozplanowania budynków, z uwzględnieniem skali, gabarytów i historycznego charakteru zespołu z wyjątkiem budynku usytuowanego przy ul. Pomorskiej 88f, dla którego dopuszcza się dyslokację w granice terenu 5.MW-U, po przebudowie układu drogowego w ul. Chocimskiej, zgodnie z planem; dla budynków wpisanych do ewidencji zabytków przeznaczonych do zachowania ustala się: konserwację, rewaloryzację i rekonstrukcję, zachowanie lub odtworzenie detali architektonicznych, zachowanie kub nawiązanie do historycznie kształtowanych form dachów stromych i ich kolorystyki, zachowanie lub odtworzenie drewnianej stolarki okiennej i drzwiowej, jej historycznych kształtów, podziałów i detali, zachowanie i konserwację.</w:t>
            </w:r>
          </w:p>
          <w:p w14:paraId="2B92B87D"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 w granicach terenu objętego planem nie występują tereny górnicze oraz obszary zagrożenia osuwaniem się mas ziemnych, obszar objęty planem położony jest poza obszarem szczególnego zagrożenia powodzią, nie określa się krajobrazów priorytetowych określonych w audycie krajobrazowym oraz w planach zagospodarowania województwa ze względu na brak audytu krajobrazowego oraz nie wyznaczenie takiego krajobrazu w planach zagospodarowania województwa, obszar objęty planem położony jest w granicach Głównego Zbiornika Wód Podziemnych nr 140 pn. </w:t>
            </w:r>
            <w:proofErr w:type="spellStart"/>
            <w:r w:rsidRPr="00C60006">
              <w:rPr>
                <w:rFonts w:ascii="Times New Roman" w:eastAsia="Times New Roman" w:hAnsi="Times New Roman" w:cs="Times New Roman"/>
                <w:sz w:val="20"/>
                <w:szCs w:val="20"/>
              </w:rPr>
              <w:t>Subzbiornik</w:t>
            </w:r>
            <w:proofErr w:type="spellEnd"/>
            <w:r w:rsidRPr="00C60006">
              <w:rPr>
                <w:rFonts w:ascii="Times New Roman" w:eastAsia="Times New Roman" w:hAnsi="Times New Roman" w:cs="Times New Roman"/>
                <w:sz w:val="20"/>
                <w:szCs w:val="20"/>
              </w:rPr>
              <w:t xml:space="preserve"> Bydgoszcz;</w:t>
            </w:r>
          </w:p>
          <w:p w14:paraId="36BC4C48"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System infrastruktury technicznej tworzą istniejące i projektowane </w:t>
            </w:r>
            <w:r w:rsidRPr="00C60006">
              <w:rPr>
                <w:rFonts w:ascii="Times New Roman" w:eastAsia="Times New Roman" w:hAnsi="Times New Roman" w:cs="Times New Roman"/>
                <w:sz w:val="20"/>
                <w:szCs w:val="20"/>
              </w:rPr>
              <w:lastRenderedPageBreak/>
              <w:t>przewody i urządzenia uzbrojenia terenu; wymagane powiązanie istniejących i projektowanych sieci uzbrojenia terenu z układem zewnętrznym; nowe i rozbudowywane sieci uzbrojenia terenu należy lokalizować w granicach terenów przeznaczonych w planie pod drogi lub infrastrukturę techniczną, a gdy nie jest to możliwe ze względów technicznych, dopuszcza się ich usytuowanie w granicach terenów o innym przeznaczeniu; ustala się utrzymanie oraz rozbudowy, przebudowy i remonty istniejących przewodów i urządzeń uzbrojenia terenu, w tym niezwiązanych bezpośrednio z obsługą terenu.</w:t>
            </w:r>
          </w:p>
          <w:p w14:paraId="70C73AD3"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Zaopatrzenie w wodę poprzez system zbiorczej sieci wodociągowej</w:t>
            </w:r>
          </w:p>
          <w:p w14:paraId="2628943C"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Odprowadzenie ścieków komunalnych poprzez system zbiorczej kanalizacji sanitarnej</w:t>
            </w:r>
          </w:p>
          <w:p w14:paraId="7DCB84B4"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Zasady obsługi w zakresie odprowadzenia wód opadowych i roztopowych: maksymalne ich zagospodarowanie w miejscu występowania poprzez: retencjonowanie wód opadowych i roztopowych poprzez realizację nowych zbiorników i cieków wodnych, przede wszystkim w granicach obszarów zagospodarowanych zielenią, odprowadzenie wód opadowych i roztopowych do gruntu z uwzględnieniem warunków gruntowo-wodnych terenu, wykorzystywanie wód opadowych i roztopowych do drugorzędnych celów gospodarczych, stopniowe uwalnianie nadmiaru wód deszczowych z odpływem do zbiorczej kanalizacji deszczowej. W przypadku braku </w:t>
            </w:r>
            <w:proofErr w:type="spellStart"/>
            <w:r w:rsidRPr="00C60006">
              <w:rPr>
                <w:rFonts w:ascii="Times New Roman" w:eastAsia="Times New Roman" w:hAnsi="Times New Roman" w:cs="Times New Roman"/>
                <w:sz w:val="20"/>
                <w:szCs w:val="20"/>
              </w:rPr>
              <w:t>ww</w:t>
            </w:r>
            <w:proofErr w:type="spellEnd"/>
            <w:r w:rsidRPr="00C60006">
              <w:rPr>
                <w:rFonts w:ascii="Times New Roman" w:eastAsia="Times New Roman" w:hAnsi="Times New Roman" w:cs="Times New Roman"/>
                <w:sz w:val="20"/>
                <w:szCs w:val="20"/>
              </w:rPr>
              <w:t xml:space="preserve"> możliwości dopuszcza się odprowadzenie wód opadowych i </w:t>
            </w:r>
            <w:r w:rsidRPr="00C60006">
              <w:rPr>
                <w:rFonts w:ascii="Times New Roman" w:eastAsia="Times New Roman" w:hAnsi="Times New Roman" w:cs="Times New Roman"/>
                <w:sz w:val="20"/>
                <w:szCs w:val="20"/>
              </w:rPr>
              <w:lastRenderedPageBreak/>
              <w:t>roztopowych do zbiorczej sieci kanalizacji deszczowej. Sieci kanalizacji wód opadowych i roztopowych muszą stanowić odrębny system w stosunku do sieci kanalizacji sanitarnej.</w:t>
            </w:r>
          </w:p>
          <w:p w14:paraId="03AEF577"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Zaopatrzenie w gaz poprzez system zbiorczych sieci gazowych średniego i niskiego ciśnienia.</w:t>
            </w:r>
          </w:p>
          <w:p w14:paraId="6A0B844F"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Zaopatrzenie w ciepło poprzez zbiorczy system sieci ciepłowniczych z miejskiej sieci ciepłowniczej; dopuszcza się zaopatrzenie w energię </w:t>
            </w:r>
            <w:proofErr w:type="spellStart"/>
            <w:r w:rsidRPr="00C60006">
              <w:rPr>
                <w:rFonts w:ascii="Times New Roman" w:eastAsia="Times New Roman" w:hAnsi="Times New Roman" w:cs="Times New Roman"/>
                <w:sz w:val="20"/>
                <w:szCs w:val="20"/>
              </w:rPr>
              <w:t>ciplną</w:t>
            </w:r>
            <w:proofErr w:type="spellEnd"/>
            <w:r w:rsidRPr="00C60006">
              <w:rPr>
                <w:rFonts w:ascii="Times New Roman" w:eastAsia="Times New Roman" w:hAnsi="Times New Roman" w:cs="Times New Roman"/>
                <w:sz w:val="20"/>
                <w:szCs w:val="20"/>
              </w:rPr>
              <w:t xml:space="preserve"> na zasadach indywidualnych z możliwością wykorzystania gazu z sieci gazowej, oleju opałowego, energii elektrycznej, źródeł energii odnawialnej oraz innych paliw przy zastosowaniu instalacji i urządzeń wykorzystujących niskoemisyjne technologie spalania; w istniejących budynkach wymagana jest wymiana kotłów i pieców domowych opalanych np. węglem na nowoczesne urządzenia grzewcze o wysokiej sprawności energetycznej, dopuszcza się termomodernizację budynków.</w:t>
            </w:r>
          </w:p>
          <w:p w14:paraId="56DFBFBC"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Zaopatrzenie w energię elektryczną poprzez przewody i urządzenia przedsiębiorstwa energetycznego; przewiduje się skablowanie istniejącej, napowietrznej linii elektroenergetycznej 11kV jako podziemnej linii elektroenergetycznej WN 110kV relacji GPZ Północ – GPZ </w:t>
            </w:r>
            <w:proofErr w:type="spellStart"/>
            <w:r w:rsidRPr="00C60006">
              <w:rPr>
                <w:rFonts w:ascii="Times New Roman" w:eastAsia="Times New Roman" w:hAnsi="Times New Roman" w:cs="Times New Roman"/>
                <w:sz w:val="20"/>
                <w:szCs w:val="20"/>
              </w:rPr>
              <w:t>Jachcice</w:t>
            </w:r>
            <w:proofErr w:type="spellEnd"/>
            <w:r w:rsidRPr="00C60006">
              <w:rPr>
                <w:rFonts w:ascii="Times New Roman" w:eastAsia="Times New Roman" w:hAnsi="Times New Roman" w:cs="Times New Roman"/>
                <w:sz w:val="20"/>
                <w:szCs w:val="20"/>
              </w:rPr>
              <w:t xml:space="preserve">, dla której wskazuje się orientacyjnie strefę obsługi technicznej; dopuszcza się utrzymanie istniejących stacji transformatorowych z możliwością przebudowy i rozbudowy, dyslokację i lokalizację nowych stacji przedsiębiorstwa energetycznego na wydzielonych działkach z dostępem do drogi publicznej lub abonenckich, na terenach zabudowy mieszkaniowej wielorodzinnej i usługowej oraz </w:t>
            </w:r>
            <w:r w:rsidRPr="00C60006">
              <w:rPr>
                <w:rFonts w:ascii="Times New Roman" w:eastAsia="Times New Roman" w:hAnsi="Times New Roman" w:cs="Times New Roman"/>
                <w:sz w:val="20"/>
                <w:szCs w:val="20"/>
              </w:rPr>
              <w:lastRenderedPageBreak/>
              <w:t xml:space="preserve">doprowadzenie do nich zasilających linii średniego i niskiego napięcia; nowe, rozbudowywane i wymieniane przewody elektroenergetyczne budować jako przewody kablowe pod powierzchnią terenu, zakaz budowy nowych i rozbudowy istniejących przewodów elektroenergetycznych jako linii napowietrznych, z wyłączeniem remontów istniejących, nadziemnych linii i przyłączy; złącza kablowo-pomiarowe lub złącza kablowe </w:t>
            </w:r>
            <w:proofErr w:type="spellStart"/>
            <w:r w:rsidRPr="00C60006">
              <w:rPr>
                <w:rFonts w:ascii="Times New Roman" w:eastAsia="Times New Roman" w:hAnsi="Times New Roman" w:cs="Times New Roman"/>
                <w:sz w:val="20"/>
                <w:szCs w:val="20"/>
              </w:rPr>
              <w:t>nn</w:t>
            </w:r>
            <w:proofErr w:type="spellEnd"/>
            <w:r w:rsidRPr="00C60006">
              <w:rPr>
                <w:rFonts w:ascii="Times New Roman" w:eastAsia="Times New Roman" w:hAnsi="Times New Roman" w:cs="Times New Roman"/>
                <w:sz w:val="20"/>
                <w:szCs w:val="20"/>
              </w:rPr>
              <w:t xml:space="preserve"> należy sytuować jako wbudowane i wkomponowane w ogrodzenie lub budynek. Podłączenie do linii i urządzeń sieci telekomunikacji poprzez istniejącą lub projektowaną sieć teletechniczną; nowe, rozbudowywane i wymieniane linie telekomunikacyjne i internetowe, należy realizować jako przewody podziemne; zakaz budowy nowych i rozbudowy istniejących linii nadziemnych, z wyłączeniem budowy nadziemnych przyłączy abonenckich prowadzących do istniejących linii nadziemnych, a także z wyłączeniem remontów istniejących nadziemnych linii i przyłączy abonenckich.</w:t>
            </w:r>
          </w:p>
          <w:p w14:paraId="60CB84DC"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 granicach obszaru objętego planem nie występują tereny górnicze oraz obszary zagrożenia osuwaniem się mas ziemnych; obszar objęty planem położony jest poza obszarem szczególnego zagrożenia powodzią; nie określa się krajobrazów priorytetowych w audycie krajobrazowym oraz w planach zagospodarowania województwa ze względu na brak audytu krajobrazowego oraz nie wyznaczenie takiego krajobrazu w planach zagospodarowania województwa; obszar objęty planem położony jest w granicach Głównego Zbiornika Wód Podziemnych nr 140 pn. </w:t>
            </w:r>
            <w:proofErr w:type="spellStart"/>
            <w:r w:rsidRPr="00C60006">
              <w:rPr>
                <w:rFonts w:ascii="Times New Roman" w:eastAsia="Times New Roman" w:hAnsi="Times New Roman" w:cs="Times New Roman"/>
                <w:sz w:val="20"/>
                <w:szCs w:val="20"/>
              </w:rPr>
              <w:t>Subzbiornik</w:t>
            </w:r>
            <w:proofErr w:type="spellEnd"/>
            <w:r w:rsidRPr="00C60006">
              <w:rPr>
                <w:rFonts w:ascii="Times New Roman" w:eastAsia="Times New Roman" w:hAnsi="Times New Roman" w:cs="Times New Roman"/>
                <w:sz w:val="20"/>
                <w:szCs w:val="20"/>
              </w:rPr>
              <w:t xml:space="preserve"> Bydgoszcz.</w:t>
            </w:r>
          </w:p>
          <w:p w14:paraId="7AB4C588"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lastRenderedPageBreak/>
              <w:t xml:space="preserve">W planie przeznacza się tereny pod: zabudowę mieszkaniową wielorodzinną, zabudowę usługową (MW-U), zabudowę usługową, teren rozmieszczenia obiektów handlowych o </w:t>
            </w:r>
            <w:proofErr w:type="spellStart"/>
            <w:r w:rsidRPr="00C60006">
              <w:rPr>
                <w:rFonts w:ascii="Times New Roman" w:eastAsia="Times New Roman" w:hAnsi="Times New Roman" w:cs="Times New Roman"/>
                <w:sz w:val="20"/>
                <w:szCs w:val="20"/>
              </w:rPr>
              <w:t>pow</w:t>
            </w:r>
            <w:proofErr w:type="spellEnd"/>
            <w:r w:rsidRPr="00C60006">
              <w:rPr>
                <w:rFonts w:ascii="Times New Roman" w:eastAsia="Times New Roman" w:hAnsi="Times New Roman" w:cs="Times New Roman"/>
                <w:sz w:val="20"/>
                <w:szCs w:val="20"/>
              </w:rPr>
              <w:t xml:space="preserve"> sprzedaży </w:t>
            </w:r>
            <w:proofErr w:type="spellStart"/>
            <w:r w:rsidRPr="00C60006">
              <w:rPr>
                <w:rFonts w:ascii="Times New Roman" w:eastAsia="Times New Roman" w:hAnsi="Times New Roman" w:cs="Times New Roman"/>
                <w:sz w:val="20"/>
                <w:szCs w:val="20"/>
              </w:rPr>
              <w:t>pow</w:t>
            </w:r>
            <w:proofErr w:type="spellEnd"/>
            <w:r w:rsidRPr="00C60006">
              <w:rPr>
                <w:rFonts w:ascii="Times New Roman" w:eastAsia="Times New Roman" w:hAnsi="Times New Roman" w:cs="Times New Roman"/>
                <w:sz w:val="20"/>
                <w:szCs w:val="20"/>
              </w:rPr>
              <w:t xml:space="preserve"> 2000m</w:t>
            </w:r>
            <w:r w:rsidRPr="00C60006">
              <w:rPr>
                <w:rFonts w:ascii="Times New Roman" w:eastAsia="Times New Roman" w:hAnsi="Times New Roman" w:cs="Times New Roman"/>
                <w:sz w:val="20"/>
                <w:szCs w:val="20"/>
                <w:vertAlign w:val="superscript"/>
              </w:rPr>
              <w:t>2</w:t>
            </w:r>
            <w:r w:rsidRPr="00C60006">
              <w:rPr>
                <w:rFonts w:ascii="Times New Roman" w:eastAsia="Times New Roman" w:hAnsi="Times New Roman" w:cs="Times New Roman"/>
                <w:sz w:val="20"/>
                <w:szCs w:val="20"/>
              </w:rPr>
              <w:t xml:space="preserve"> (U-UC), zabudowę usług publicznych z zakresu oświaty, nauki i szkolnictwa wyższego, kultury i sztuki, opieki społecznej (10.UP), zieleń urządzoną (16.ZP), zieleń ochronną, infrastrukturę (17.ZO-IPT), drogi publiczne, ulice klasy głównej ruchu przyspieszonego (KDGP), drogi publiczne, ulice klasy zbiorczej (KDZ), drogi publiczne, ulice klasy lokalnej (KDL), drogi publiczne, ulice klasy dojazdowej (KDD), drogi wewnętrzne (KDW), drogi publiczne – ulice klasy dojazdowej, drogi pieszo-jezdne (KDX), teren infrastruktury elektroenergetycznej (IE).</w:t>
            </w:r>
          </w:p>
          <w:p w14:paraId="040AFBE7"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W planie 231 oznacza się informacyjnie: obiekty zabytkowe wpisane do rejestru i ewidencji zabytków, granice obszaru wpisanego do rejestru i ewidencji zabytków, pomnik przyrody ożywionej. Ponadto ustala się zakaz lokalizacji funkcji związanych ze zbieraniem odpadów, skupem i składowaniem surowców wtórnych, demontażem pojazdów, obsługi motoryzacji (np. stacje paliw, stacje gazu płynnego, stacje kontroli i obsługi pojazdów, lakiernie, itp.), handlu hurtowego, składów i magazynów, związanych ze spopielaniem zwłok.</w:t>
            </w:r>
          </w:p>
          <w:p w14:paraId="346E8C62"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Zakaz lokalizacji przedsięwzięć mogących zawsze i potencjalnie znaczącą oddziaływać na środowisko; obowiązuje zachowanie przyulicznych </w:t>
            </w:r>
            <w:proofErr w:type="spellStart"/>
            <w:r w:rsidRPr="00C60006">
              <w:rPr>
                <w:rFonts w:ascii="Times New Roman" w:eastAsia="Times New Roman" w:hAnsi="Times New Roman" w:cs="Times New Roman"/>
                <w:sz w:val="20"/>
                <w:szCs w:val="20"/>
              </w:rPr>
              <w:t>zadrzewień</w:t>
            </w:r>
            <w:proofErr w:type="spellEnd"/>
            <w:r w:rsidRPr="00C60006">
              <w:rPr>
                <w:rFonts w:ascii="Times New Roman" w:eastAsia="Times New Roman" w:hAnsi="Times New Roman" w:cs="Times New Roman"/>
                <w:sz w:val="20"/>
                <w:szCs w:val="20"/>
              </w:rPr>
              <w:t xml:space="preserve"> z możliwością ich wymiany i uzupełnienia. Nie ustala się zasad kształtowania krajobrazu.</w:t>
            </w:r>
          </w:p>
          <w:p w14:paraId="100C5FAD"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lastRenderedPageBreak/>
              <w:t>Wyznacza się strefę „B” ochrony konserwatorskiej, pokrywającą się z zasięgiem strefy „W” ochrony archeologicznej; obowiązuje dostosowanie nowej zabudowy do historycznej kompozycji urbanistycznej, zachowanie historycznego rozplanowania ulic, z zachowaniem ich szerokości, przekroju i historycznego charakteru nawierzchni, zachowanie historycznych linii zabudowy, zachowanie i rewaloryzacja terenów zieleni komponowanej, zachowanie i konserwacja zabytkowych ogrodzeń.</w:t>
            </w:r>
          </w:p>
          <w:p w14:paraId="45BF1BAE"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 granicach obszaru objętego planem nie występują: tereny górnicze, obszary szczególnego zagrożenia powodzią, osuwania się mas ziemnych; obszar objęty planem położony jest w granicach Głównego Zbiornika Wód Podziemnych nr 140 pn. </w:t>
            </w:r>
            <w:proofErr w:type="spellStart"/>
            <w:r w:rsidRPr="00C60006">
              <w:rPr>
                <w:rFonts w:ascii="Times New Roman" w:eastAsia="Times New Roman" w:hAnsi="Times New Roman" w:cs="Times New Roman"/>
                <w:sz w:val="20"/>
                <w:szCs w:val="20"/>
              </w:rPr>
              <w:t>Subzbiornik</w:t>
            </w:r>
            <w:proofErr w:type="spellEnd"/>
            <w:r w:rsidRPr="00C60006">
              <w:rPr>
                <w:rFonts w:ascii="Times New Roman" w:eastAsia="Times New Roman" w:hAnsi="Times New Roman" w:cs="Times New Roman"/>
                <w:sz w:val="20"/>
                <w:szCs w:val="20"/>
              </w:rPr>
              <w:t xml:space="preserve"> Bydgoszcz.</w:t>
            </w:r>
          </w:p>
          <w:p w14:paraId="4F95C604"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Wysokość n.p.m. obiektów budowlanych wraz z umieszczonymi na nich urządzeniami, nie może przekroczyć rzędnej wysokościowej wynoszącej 117 m n.p.m. na podstawie dokumentacji rejestracyjnej lotniska.</w:t>
            </w:r>
          </w:p>
          <w:p w14:paraId="3FDA5F32"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Podstawowy system zaopatrzenia w wodę stanowi zbiorcza sieć wodociągowa, odprowadzenia ścieków komunalnych – zbiorcza sieć kanalizacji sanitarnej, stanowiąca odrębny system w stosunku do sieci kanalizacji wód opadowych i roztopowych; podstawowy system zaopatrzenia w gaz stanowią zbiorcze sieci gazowe, dopuszcza się wykorzystanie gazu do celów grzewczych; podstawowy system zaopatrzenia w ciepło stanowią zbiorcze sieci ciepłownicze, dopuszcza się zaopatrzenie w energię cieplną na zasadach indywidualnych z możliwością wykorzystania gazu z </w:t>
            </w:r>
            <w:r w:rsidRPr="00C60006">
              <w:rPr>
                <w:rFonts w:ascii="Times New Roman" w:eastAsia="Times New Roman" w:hAnsi="Times New Roman" w:cs="Times New Roman"/>
                <w:sz w:val="20"/>
                <w:szCs w:val="20"/>
              </w:rPr>
              <w:lastRenderedPageBreak/>
              <w:t xml:space="preserve">sieci gazowej, oleju opałowego, energii elektrycznej, źródeł energii odnawialnej oraz innych paliw przy zastosowaniu nowoczesnych instalacji i urządzeń o wysokiej sprawności energetycznej, w istniejących budynkach wymagana jest wymiana na ekologiczne urządzenia grzewcze; podstawowy system zasilania stanowią przewody i urządzenia przedsiębiorstwa energetycznego, nowe, rozbudowywane i wymieniane przewody elektroenergetyczne SN i </w:t>
            </w:r>
            <w:proofErr w:type="spellStart"/>
            <w:r w:rsidRPr="00C60006">
              <w:rPr>
                <w:rFonts w:ascii="Times New Roman" w:eastAsia="Times New Roman" w:hAnsi="Times New Roman" w:cs="Times New Roman"/>
                <w:sz w:val="20"/>
                <w:szCs w:val="20"/>
              </w:rPr>
              <w:t>nn</w:t>
            </w:r>
            <w:proofErr w:type="spellEnd"/>
            <w:r w:rsidRPr="00C60006">
              <w:rPr>
                <w:rFonts w:ascii="Times New Roman" w:eastAsia="Times New Roman" w:hAnsi="Times New Roman" w:cs="Times New Roman"/>
                <w:sz w:val="20"/>
                <w:szCs w:val="20"/>
              </w:rPr>
              <w:t xml:space="preserve"> należy budować jako przewody kablowe pod </w:t>
            </w:r>
            <w:proofErr w:type="spellStart"/>
            <w:r w:rsidRPr="00C60006">
              <w:rPr>
                <w:rFonts w:ascii="Times New Roman" w:eastAsia="Times New Roman" w:hAnsi="Times New Roman" w:cs="Times New Roman"/>
                <w:sz w:val="20"/>
                <w:szCs w:val="20"/>
              </w:rPr>
              <w:t>pow</w:t>
            </w:r>
            <w:proofErr w:type="spellEnd"/>
            <w:r w:rsidRPr="00C60006">
              <w:rPr>
                <w:rFonts w:ascii="Times New Roman" w:eastAsia="Times New Roman" w:hAnsi="Times New Roman" w:cs="Times New Roman"/>
                <w:sz w:val="20"/>
                <w:szCs w:val="20"/>
              </w:rPr>
              <w:t xml:space="preserve"> terenu; podstawowy system telekomunikacyjny stanowią przewody i urządzenia teletechniczne, nowe, rozbudowywane i wymieniane linie telekomunikacyjne i internetowe, należy realizować jako przewody podziemne.</w:t>
            </w:r>
          </w:p>
          <w:p w14:paraId="3782CF8A"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W planie ustala się przeznaczenie terenów: teren zabudowy usługowej – budynki użyteczności publicznej z zakresu kultury i sztuki, nauki i szkolnictwa wyższego, oświaty (UP); teren zabudowy mieszkaniowej wielorodzinnej, teren zabudowy usługowej (MW-U); teren zabudowy kultu religijnego (UKR); teren zieleni urządzonej (ZP); teren drogi publicznej – ulica klasy zbiorczej z torowiskiem tramwajowym (KDZ/KDT); teren drogi publicznej – ulica klasy zbiorczej (KDZ); teren drogi publicznej – ulica klasy lokalnej z torowiskiem tramwajowym (KDL/KDT); teren drogi publicznej – ulica klasy lokalnej (KDL, KDD); teren drogi publicznej – ulica klasy dojazdowej – droga pieszo-jezdna (KDX); teren ciągu pieszo – rowerowego (KPXR).</w:t>
            </w:r>
          </w:p>
          <w:p w14:paraId="3060BAD3"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 planie nr 224 obowiązuje zakaz lokalizacji: funkcji usługowych związanych z obsługą motoryzacji, zbieraniem odpadów i demontażem </w:t>
            </w:r>
            <w:r w:rsidRPr="00C60006">
              <w:rPr>
                <w:rFonts w:ascii="Times New Roman" w:eastAsia="Times New Roman" w:hAnsi="Times New Roman" w:cs="Times New Roman"/>
                <w:sz w:val="20"/>
                <w:szCs w:val="20"/>
              </w:rPr>
              <w:lastRenderedPageBreak/>
              <w:t>pojazdów, spopielaniem i przechowywaniem zwłok, z zakresu rzemiosła typu zakłady stolarskie, ślusarskie, tokarskie i spawalnicze, z zakresu handlu hurtowego, składów i magazynów, z zakresu handlu ulicznego w formie straganów, targowisk itp.; powierzchniowych komisów samochodowych; wolnostojących budynków gospodarczych i usługowych, garaży blaszanych, anten satelitarnych, urządzeń klimatyzacyjnych, kominów stalowych a także skrzynek elektrycznych, telekomunikacyjnych, gazowych na elewacjach frontowych budynków.</w:t>
            </w:r>
          </w:p>
          <w:p w14:paraId="09EBF464"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Zakaz lokalizacji przedsięwzięć mogących zawsze i potencjalnie znaczącą oddziaływać na środowisko; nie ustala się zasad kształtowania krajobrazu.</w:t>
            </w:r>
          </w:p>
          <w:p w14:paraId="3C0B5B99"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Dla całego obszaru planu ustala się strefę „B” ochrony konserwatorskiej, która jest równoznaczna z zasięgiem strefy ochrony archeologicznej.</w:t>
            </w:r>
          </w:p>
          <w:p w14:paraId="1AC5CA0F"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 granicach obszaru objętego planem nie występują: tereny górnicze, obszary szczególnego zagrożenia powodzią, osuwania się mas ziemnych; obszar objęty planem położony jest w granicach Głównego Zbiornika Wód Podziemnych nr 140 pn. </w:t>
            </w:r>
            <w:proofErr w:type="spellStart"/>
            <w:r w:rsidRPr="00C60006">
              <w:rPr>
                <w:rFonts w:ascii="Times New Roman" w:eastAsia="Times New Roman" w:hAnsi="Times New Roman" w:cs="Times New Roman"/>
                <w:sz w:val="20"/>
                <w:szCs w:val="20"/>
              </w:rPr>
              <w:t>Subzbiornik</w:t>
            </w:r>
            <w:proofErr w:type="spellEnd"/>
            <w:r w:rsidRPr="00C60006">
              <w:rPr>
                <w:rFonts w:ascii="Times New Roman" w:eastAsia="Times New Roman" w:hAnsi="Times New Roman" w:cs="Times New Roman"/>
                <w:sz w:val="20"/>
                <w:szCs w:val="20"/>
              </w:rPr>
              <w:t xml:space="preserve"> Bydgoszcz.</w:t>
            </w:r>
          </w:p>
          <w:p w14:paraId="30E5743F"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Obowiązują nieprzekraczalne ograniczenia wysokości obiektów budowlanych wraz z umieszczonymi na nich urządzeniami, których wysokość jest określona w dokumentacji rejestracyjnej lotniska Bydgoszcz-Szwederowo i wskazana na rysunku planu.</w:t>
            </w:r>
          </w:p>
          <w:p w14:paraId="6DA963B5"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System infrastruktury technicznej tworzą istniejące i projektowane przewody oraz urządzenia wodociągowe, kanalizacyjne, </w:t>
            </w:r>
            <w:r w:rsidRPr="00C60006">
              <w:rPr>
                <w:rFonts w:ascii="Times New Roman" w:eastAsia="Times New Roman" w:hAnsi="Times New Roman" w:cs="Times New Roman"/>
                <w:sz w:val="20"/>
                <w:szCs w:val="20"/>
              </w:rPr>
              <w:lastRenderedPageBreak/>
              <w:t>elektroenergetyczne, ciepłownicze, gazowe i telekomunikacyjne. Obowiązuje powiązanie istniejących i projektowanych sieci infrastruktury technicznej z systemem zewnętrznym.</w:t>
            </w:r>
          </w:p>
          <w:p w14:paraId="16631A42"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W planie ustala się następujące przeznaczenie terenów: teren zabudowy mieszkaniowej wielorodzinnej, zabudowy usługowej (MW-U); teren zabudowy usługowej (U); teren zabudowy usługowej, teren rozmieszczenia obiektów handlowych o </w:t>
            </w:r>
            <w:proofErr w:type="spellStart"/>
            <w:r w:rsidRPr="00C60006">
              <w:rPr>
                <w:rFonts w:ascii="Times New Roman" w:eastAsia="Times New Roman" w:hAnsi="Times New Roman" w:cs="Times New Roman"/>
                <w:sz w:val="20"/>
                <w:szCs w:val="20"/>
              </w:rPr>
              <w:t>pow</w:t>
            </w:r>
            <w:proofErr w:type="spellEnd"/>
            <w:r w:rsidRPr="00C60006">
              <w:rPr>
                <w:rFonts w:ascii="Times New Roman" w:eastAsia="Times New Roman" w:hAnsi="Times New Roman" w:cs="Times New Roman"/>
                <w:sz w:val="20"/>
                <w:szCs w:val="20"/>
              </w:rPr>
              <w:t xml:space="preserve"> sprzedaży pow. 2000m</w:t>
            </w:r>
            <w:r w:rsidRPr="00C60006">
              <w:rPr>
                <w:rFonts w:ascii="Times New Roman" w:eastAsia="Times New Roman" w:hAnsi="Times New Roman" w:cs="Times New Roman"/>
                <w:sz w:val="20"/>
                <w:szCs w:val="20"/>
                <w:vertAlign w:val="superscript"/>
              </w:rPr>
              <w:t>2</w:t>
            </w:r>
            <w:r w:rsidRPr="00C60006">
              <w:rPr>
                <w:rFonts w:ascii="Times New Roman" w:eastAsia="Times New Roman" w:hAnsi="Times New Roman" w:cs="Times New Roman"/>
                <w:sz w:val="20"/>
                <w:szCs w:val="20"/>
              </w:rPr>
              <w:t xml:space="preserve"> (U-UC); teren zieleni urządzonej (ZP); teren placu miejskiego (KP); teren parkingu powierzchniowego (</w:t>
            </w:r>
            <w:proofErr w:type="spellStart"/>
            <w:r w:rsidRPr="00C60006">
              <w:rPr>
                <w:rFonts w:ascii="Times New Roman" w:eastAsia="Times New Roman" w:hAnsi="Times New Roman" w:cs="Times New Roman"/>
                <w:sz w:val="20"/>
                <w:szCs w:val="20"/>
              </w:rPr>
              <w:t>KSp</w:t>
            </w:r>
            <w:proofErr w:type="spellEnd"/>
            <w:r w:rsidRPr="00C60006">
              <w:rPr>
                <w:rFonts w:ascii="Times New Roman" w:eastAsia="Times New Roman" w:hAnsi="Times New Roman" w:cs="Times New Roman"/>
                <w:sz w:val="20"/>
                <w:szCs w:val="20"/>
              </w:rPr>
              <w:t>); teren infrastruktury elektroenergetycznej (IE); teren drogi publicznej – ulica klasy lokalnej (KDL); teren drogi publicznej – ulica klasy dojazdowej (KDD); teren drogi publicznej – ulica klasy dojazdowej, droga pieszo-jezdna (KDX); teren drogi wewnętrznej (KDW).</w:t>
            </w:r>
          </w:p>
          <w:p w14:paraId="72F3010F"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W planie nr 204 znajdują się m.in. oznaczenia graficzne wskazujące: powierzchnię ograniczającą wysokość zabudowy i obiektów naturalnych w otoczeniu lotniska; zasięg ograniczeń w sąsiedztwie obszary kolejowego. Tereny przeznaczone są pod: obiekty produkcyjne, składy i magazyny oraz zabudowa usługowa (P-U); drogi publiczne – ulica klasy lokalnej (KDL).</w:t>
            </w:r>
          </w:p>
          <w:p w14:paraId="6F7C874B" w14:textId="77777777" w:rsidR="005A64E9" w:rsidRPr="00C60006" w:rsidRDefault="005A64E9" w:rsidP="005A64E9">
            <w:pPr>
              <w:spacing w:beforeLines="60" w:before="144" w:afterLines="60" w:after="144" w:line="276" w:lineRule="auto"/>
              <w:jc w:val="both"/>
              <w:rPr>
                <w:rFonts w:ascii="Times New Roman" w:eastAsia="Times New Roman" w:hAnsi="Times New Roman" w:cs="Times New Roman"/>
                <w:sz w:val="20"/>
                <w:szCs w:val="20"/>
              </w:rPr>
            </w:pPr>
            <w:r w:rsidRPr="00C60006">
              <w:rPr>
                <w:rFonts w:ascii="Times New Roman" w:eastAsia="Times New Roman" w:hAnsi="Times New Roman" w:cs="Times New Roman"/>
                <w:sz w:val="20"/>
                <w:szCs w:val="20"/>
              </w:rPr>
              <w:t xml:space="preserve">Plan nr 200 ustala tereny pod: zabudowę mieszkaniową wielorodzinną, zabudowę usługową (MW-U); zabudowę mieszkaniową wielorodzinną z dopuszczeniem uzupełniających funkcji usługowych; w zakresie funkcji uzupełniających dopuszcza się usługi handlu, gastronomii, obsługi pocztowej, bankowej i ubezpieczeniowej, opieki zdrowotnej, socjalnej, pozaszkolnych form edukacji a także usługi naprawy </w:t>
            </w:r>
            <w:r w:rsidRPr="00C60006">
              <w:rPr>
                <w:rFonts w:ascii="Times New Roman" w:eastAsia="Times New Roman" w:hAnsi="Times New Roman" w:cs="Times New Roman"/>
                <w:sz w:val="20"/>
                <w:szCs w:val="20"/>
              </w:rPr>
              <w:lastRenderedPageBreak/>
              <w:t>i konserwacji artykułów użytku osobistego i domowego, usługi fryzjerskie i kosmetyczne oraz działalności związane z wykonywaniem wolnych zawodów (MW/U); zabudowę usługową (U); drogę publiczną – ulice klasy lokalnej (KDL); drogę publiczną – ulice klasy lokalnej z torowiskiem tramwajowym (KDL+T); drogę publiczną – ulice klasy dojazdowej – droga pieszo-jezdna (KDX); drogi wewnętrzne (KDW); drogi publiczne – ulica klasy lokalnej – most tramwajowy, teren śródlądowych wód powierzchniowych (KDL+T/WS); drogi publiczne – ulice klasy zbiorczej (KDZ); zieleń urządzoną – publiczną (ZP); infrastrukturę elektroenergetyczną – stacje transformatorowe (IE); śródlądowe wody powierzchniowe (WS).</w:t>
            </w:r>
          </w:p>
          <w:p w14:paraId="5FDE7574" w14:textId="3D8DB3F9" w:rsidR="002E7359" w:rsidRPr="00C60006" w:rsidRDefault="005A64E9" w:rsidP="005A64E9">
            <w:pPr>
              <w:spacing w:beforeLines="60" w:before="144" w:afterLines="60" w:after="144" w:line="240" w:lineRule="auto"/>
              <w:jc w:val="both"/>
              <w:rPr>
                <w:rFonts w:ascii="Times New Roman" w:eastAsia="Times New Roman" w:hAnsi="Times New Roman" w:cs="Times New Roman"/>
                <w:szCs w:val="20"/>
              </w:rPr>
            </w:pPr>
            <w:r w:rsidRPr="00C60006">
              <w:rPr>
                <w:rFonts w:ascii="Times New Roman" w:eastAsia="Times New Roman" w:hAnsi="Times New Roman" w:cs="Times New Roman"/>
                <w:sz w:val="20"/>
                <w:szCs w:val="20"/>
              </w:rPr>
              <w:t xml:space="preserve">W planie nr 49, przeznaczenie terenów jest następujące: teren usług </w:t>
            </w:r>
            <w:proofErr w:type="spellStart"/>
            <w:r w:rsidRPr="00C60006">
              <w:rPr>
                <w:rFonts w:ascii="Times New Roman" w:eastAsia="Times New Roman" w:hAnsi="Times New Roman" w:cs="Times New Roman"/>
                <w:sz w:val="20"/>
                <w:szCs w:val="20"/>
              </w:rPr>
              <w:t>ogólnomiejskich</w:t>
            </w:r>
            <w:proofErr w:type="spellEnd"/>
            <w:r w:rsidRPr="00C60006">
              <w:rPr>
                <w:rFonts w:ascii="Times New Roman" w:eastAsia="Times New Roman" w:hAnsi="Times New Roman" w:cs="Times New Roman"/>
                <w:sz w:val="20"/>
                <w:szCs w:val="20"/>
              </w:rPr>
              <w:t>, dopuszcza się uzupełniającą funkcję mieszkaniową (U); teren garażu wielopoziomowego zamkniętego dla samochodów osobowych (</w:t>
            </w:r>
            <w:proofErr w:type="spellStart"/>
            <w:r w:rsidRPr="00C60006">
              <w:rPr>
                <w:rFonts w:ascii="Times New Roman" w:eastAsia="Times New Roman" w:hAnsi="Times New Roman" w:cs="Times New Roman"/>
                <w:sz w:val="20"/>
                <w:szCs w:val="20"/>
              </w:rPr>
              <w:t>KSg</w:t>
            </w:r>
            <w:proofErr w:type="spellEnd"/>
            <w:r w:rsidRPr="00C60006">
              <w:rPr>
                <w:rFonts w:ascii="Times New Roman" w:eastAsia="Times New Roman" w:hAnsi="Times New Roman" w:cs="Times New Roman"/>
                <w:sz w:val="20"/>
                <w:szCs w:val="20"/>
              </w:rPr>
              <w:t>); teren zabudowy usługowo-mieszkaniowej (U/M); teren komunikacji wewnętrznej (3.1KW); teren stacji transformatorowych (EE); teren komunikacji publicznej (KZ).</w:t>
            </w:r>
          </w:p>
        </w:tc>
      </w:tr>
      <w:tr w:rsidR="002E7359" w:rsidRPr="002835A8" w14:paraId="2DB0C107" w14:textId="77777777" w:rsidTr="000F440E">
        <w:trPr>
          <w:trHeight w:val="71"/>
        </w:trPr>
        <w:tc>
          <w:tcPr>
            <w:tcW w:w="3099" w:type="dxa"/>
            <w:vMerge/>
            <w:shd w:val="clear" w:color="auto" w:fill="F3F3F3"/>
          </w:tcPr>
          <w:p w14:paraId="73345A8E" w14:textId="3B36DFB8"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highlight w:val="yellow"/>
                <w:lang w:eastAsia="pl-PL"/>
              </w:rPr>
            </w:pPr>
          </w:p>
        </w:tc>
        <w:tc>
          <w:tcPr>
            <w:tcW w:w="3419" w:type="dxa"/>
            <w:shd w:val="clear" w:color="auto" w:fill="auto"/>
          </w:tcPr>
          <w:p w14:paraId="3A82E782" w14:textId="77777777" w:rsidR="002E7359" w:rsidRPr="002835A8" w:rsidRDefault="002E7359" w:rsidP="002E7359">
            <w:pPr>
              <w:widowControl w:val="0"/>
              <w:autoSpaceDE w:val="0"/>
              <w:autoSpaceDN w:val="0"/>
              <w:adjustRightInd w:val="0"/>
              <w:spacing w:after="0" w:line="360" w:lineRule="auto"/>
              <w:rPr>
                <w:rFonts w:ascii="Times New Roman" w:eastAsia="Times New Roman" w:hAnsi="Times New Roman" w:cs="Times New Roman"/>
                <w:szCs w:val="20"/>
                <w:highlight w:val="yellow"/>
                <w:lang w:eastAsia="pl-PL"/>
              </w:rPr>
            </w:pPr>
            <w:r w:rsidRPr="00081095">
              <w:rPr>
                <w:rFonts w:ascii="Times New Roman" w:eastAsia="Times New Roman" w:hAnsi="Times New Roman" w:cs="Times New Roman"/>
                <w:szCs w:val="20"/>
                <w:lang w:eastAsia="pl-PL"/>
              </w:rPr>
              <w:t>decyzjach o warunkach zabudowy i zagospodarowania terenu</w:t>
            </w:r>
          </w:p>
        </w:tc>
        <w:tc>
          <w:tcPr>
            <w:tcW w:w="3264" w:type="dxa"/>
            <w:shd w:val="clear" w:color="auto" w:fill="auto"/>
          </w:tcPr>
          <w:p w14:paraId="2F2CE6B7"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Ustalenie lokalizacji celu publicznego: </w:t>
            </w:r>
          </w:p>
          <w:p w14:paraId="689BBA18"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xml:space="preserve">- budowa linii kablowych </w:t>
            </w:r>
            <w:proofErr w:type="spellStart"/>
            <w:r>
              <w:rPr>
                <w:rFonts w:asciiTheme="minorHAnsi" w:hAnsiTheme="minorHAnsi" w:cstheme="minorHAnsi"/>
                <w:b w:val="0"/>
                <w:bCs w:val="0"/>
                <w:sz w:val="20"/>
                <w:szCs w:val="20"/>
                <w:lang w:eastAsia="en-US"/>
              </w:rPr>
              <w:t>nn</w:t>
            </w:r>
            <w:proofErr w:type="spellEnd"/>
            <w:r>
              <w:rPr>
                <w:rFonts w:asciiTheme="minorHAnsi" w:hAnsiTheme="minorHAnsi" w:cstheme="minorHAnsi"/>
                <w:b w:val="0"/>
                <w:bCs w:val="0"/>
                <w:sz w:val="20"/>
                <w:szCs w:val="20"/>
                <w:lang w:eastAsia="en-US"/>
              </w:rPr>
              <w:t xml:space="preserve"> 0,4 </w:t>
            </w:r>
            <w:proofErr w:type="spellStart"/>
            <w:r>
              <w:rPr>
                <w:rFonts w:asciiTheme="minorHAnsi" w:hAnsiTheme="minorHAnsi" w:cstheme="minorHAnsi"/>
                <w:b w:val="0"/>
                <w:bCs w:val="0"/>
                <w:sz w:val="20"/>
                <w:szCs w:val="20"/>
                <w:lang w:eastAsia="en-US"/>
              </w:rPr>
              <w:t>kV</w:t>
            </w:r>
            <w:proofErr w:type="spellEnd"/>
            <w:r>
              <w:rPr>
                <w:rFonts w:asciiTheme="minorHAnsi" w:hAnsiTheme="minorHAnsi" w:cstheme="minorHAnsi"/>
                <w:b w:val="0"/>
                <w:bCs w:val="0"/>
                <w:sz w:val="20"/>
                <w:szCs w:val="20"/>
                <w:lang w:eastAsia="en-US"/>
              </w:rPr>
              <w:t>, teletechnicznych oraz złącza zasilająco sterującego dla zasilania zbiornika retencyjnego wód deszczowych</w:t>
            </w:r>
          </w:p>
          <w:p w14:paraId="393F0CBA"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 xml:space="preserve">Rodzaj inwestycji: budowa linii kablowych </w:t>
            </w:r>
            <w:proofErr w:type="spellStart"/>
            <w:r>
              <w:rPr>
                <w:rFonts w:asciiTheme="minorHAnsi" w:hAnsiTheme="minorHAnsi" w:cstheme="minorHAnsi"/>
                <w:sz w:val="20"/>
                <w:szCs w:val="20"/>
                <w:lang w:eastAsia="en-US"/>
              </w:rPr>
              <w:t>nn</w:t>
            </w:r>
            <w:proofErr w:type="spellEnd"/>
            <w:r>
              <w:rPr>
                <w:rFonts w:asciiTheme="minorHAnsi" w:hAnsiTheme="minorHAnsi" w:cstheme="minorHAnsi"/>
                <w:sz w:val="20"/>
                <w:szCs w:val="20"/>
                <w:lang w:eastAsia="en-US"/>
              </w:rPr>
              <w:t xml:space="preserve"> 0,4 </w:t>
            </w:r>
            <w:proofErr w:type="spellStart"/>
            <w:r>
              <w:rPr>
                <w:rFonts w:asciiTheme="minorHAnsi" w:hAnsiTheme="minorHAnsi" w:cstheme="minorHAnsi"/>
                <w:sz w:val="20"/>
                <w:szCs w:val="20"/>
                <w:lang w:eastAsia="en-US"/>
              </w:rPr>
              <w:t>kV</w:t>
            </w:r>
            <w:proofErr w:type="spellEnd"/>
            <w:r>
              <w:rPr>
                <w:rFonts w:asciiTheme="minorHAnsi" w:hAnsiTheme="minorHAnsi" w:cstheme="minorHAnsi"/>
                <w:sz w:val="20"/>
                <w:szCs w:val="20"/>
                <w:lang w:eastAsia="en-US"/>
              </w:rPr>
              <w:t>, teletechnicznych oraz złącza zasilająco sterującego dla zasilania zbiornika retencyjnego wód deszczowych</w:t>
            </w:r>
          </w:p>
          <w:p w14:paraId="42D80586"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41/2020</w:t>
            </w:r>
          </w:p>
          <w:p w14:paraId="7458CA3B"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Znak sprawy: WAB.I.6733.36.2020.KSZ</w:t>
            </w:r>
          </w:p>
          <w:p w14:paraId="0D533080"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budowa gazociągów niskiego ciśnienia</w:t>
            </w:r>
          </w:p>
          <w:p w14:paraId="4B7843BD"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budowa gazociągów niskiego ciśnienia</w:t>
            </w:r>
          </w:p>
          <w:p w14:paraId="5FCB8E10"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2/2020</w:t>
            </w:r>
          </w:p>
          <w:p w14:paraId="1F15E4F0"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WAB.I.6733.95.2019.SJ</w:t>
            </w:r>
          </w:p>
          <w:p w14:paraId="25FC9EF6"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xml:space="preserve">- budowa linii kablowych </w:t>
            </w:r>
            <w:proofErr w:type="spellStart"/>
            <w:r>
              <w:rPr>
                <w:rFonts w:asciiTheme="minorHAnsi" w:hAnsiTheme="minorHAnsi" w:cstheme="minorHAnsi"/>
                <w:b w:val="0"/>
                <w:bCs w:val="0"/>
                <w:sz w:val="20"/>
                <w:szCs w:val="20"/>
                <w:lang w:eastAsia="en-US"/>
              </w:rPr>
              <w:t>nn</w:t>
            </w:r>
            <w:proofErr w:type="spellEnd"/>
            <w:r>
              <w:rPr>
                <w:rFonts w:asciiTheme="minorHAnsi" w:hAnsiTheme="minorHAnsi" w:cstheme="minorHAnsi"/>
                <w:b w:val="0"/>
                <w:bCs w:val="0"/>
                <w:sz w:val="20"/>
                <w:szCs w:val="20"/>
                <w:lang w:eastAsia="en-US"/>
              </w:rPr>
              <w:t xml:space="preserve"> 0,4 </w:t>
            </w:r>
            <w:proofErr w:type="spellStart"/>
            <w:r>
              <w:rPr>
                <w:rFonts w:asciiTheme="minorHAnsi" w:hAnsiTheme="minorHAnsi" w:cstheme="minorHAnsi"/>
                <w:b w:val="0"/>
                <w:bCs w:val="0"/>
                <w:sz w:val="20"/>
                <w:szCs w:val="20"/>
                <w:lang w:eastAsia="en-US"/>
              </w:rPr>
              <w:t>kV</w:t>
            </w:r>
            <w:proofErr w:type="spellEnd"/>
            <w:r>
              <w:rPr>
                <w:rFonts w:asciiTheme="minorHAnsi" w:hAnsiTheme="minorHAnsi" w:cstheme="minorHAnsi"/>
                <w:b w:val="0"/>
                <w:bCs w:val="0"/>
                <w:sz w:val="20"/>
                <w:szCs w:val="20"/>
                <w:lang w:eastAsia="en-US"/>
              </w:rPr>
              <w:t xml:space="preserve"> oraz złącza zasilająco-sterującego do zasilania zbiornika retencyjnego wód deszczowych</w:t>
            </w:r>
          </w:p>
          <w:p w14:paraId="676AF9B0"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 xml:space="preserve">Rodzaj inwestycji: budowa linii kablowych </w:t>
            </w:r>
            <w:proofErr w:type="spellStart"/>
            <w:r>
              <w:rPr>
                <w:rFonts w:asciiTheme="minorHAnsi" w:hAnsiTheme="minorHAnsi" w:cstheme="minorHAnsi"/>
                <w:sz w:val="20"/>
                <w:szCs w:val="20"/>
                <w:lang w:eastAsia="en-US"/>
              </w:rPr>
              <w:t>nn</w:t>
            </w:r>
            <w:proofErr w:type="spellEnd"/>
            <w:r>
              <w:rPr>
                <w:rFonts w:asciiTheme="minorHAnsi" w:hAnsiTheme="minorHAnsi" w:cstheme="minorHAnsi"/>
                <w:sz w:val="20"/>
                <w:szCs w:val="20"/>
                <w:lang w:eastAsia="en-US"/>
              </w:rPr>
              <w:t xml:space="preserve"> 0,4 </w:t>
            </w:r>
            <w:proofErr w:type="spellStart"/>
            <w:r>
              <w:rPr>
                <w:rFonts w:asciiTheme="minorHAnsi" w:hAnsiTheme="minorHAnsi" w:cstheme="minorHAnsi"/>
                <w:sz w:val="20"/>
                <w:szCs w:val="20"/>
                <w:lang w:eastAsia="en-US"/>
              </w:rPr>
              <w:t>kV</w:t>
            </w:r>
            <w:proofErr w:type="spellEnd"/>
            <w:r>
              <w:rPr>
                <w:rFonts w:asciiTheme="minorHAnsi" w:hAnsiTheme="minorHAnsi" w:cstheme="minorHAnsi"/>
                <w:sz w:val="20"/>
                <w:szCs w:val="20"/>
                <w:lang w:eastAsia="en-US"/>
              </w:rPr>
              <w:t xml:space="preserve"> oraz złącza zasilająco-sterującego do zasilania zbiornika retencyjnego wód deszczowych</w:t>
            </w:r>
          </w:p>
          <w:p w14:paraId="0DF9C93B"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46/2020</w:t>
            </w:r>
          </w:p>
          <w:p w14:paraId="42A98C50"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WAB.I.6733.38.2020.MO</w:t>
            </w:r>
          </w:p>
          <w:p w14:paraId="7D78B585"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xml:space="preserve">- budowa linii kablowych </w:t>
            </w:r>
            <w:proofErr w:type="spellStart"/>
            <w:r>
              <w:rPr>
                <w:rFonts w:asciiTheme="minorHAnsi" w:hAnsiTheme="minorHAnsi" w:cstheme="minorHAnsi"/>
                <w:b w:val="0"/>
                <w:bCs w:val="0"/>
                <w:sz w:val="20"/>
                <w:szCs w:val="20"/>
                <w:lang w:eastAsia="en-US"/>
              </w:rPr>
              <w:t>nn</w:t>
            </w:r>
            <w:proofErr w:type="spellEnd"/>
            <w:r>
              <w:rPr>
                <w:rFonts w:asciiTheme="minorHAnsi" w:hAnsiTheme="minorHAnsi" w:cstheme="minorHAnsi"/>
                <w:b w:val="0"/>
                <w:bCs w:val="0"/>
                <w:sz w:val="20"/>
                <w:szCs w:val="20"/>
                <w:lang w:eastAsia="en-US"/>
              </w:rPr>
              <w:t xml:space="preserve"> 0,4 </w:t>
            </w:r>
            <w:proofErr w:type="spellStart"/>
            <w:r>
              <w:rPr>
                <w:rFonts w:asciiTheme="minorHAnsi" w:hAnsiTheme="minorHAnsi" w:cstheme="minorHAnsi"/>
                <w:b w:val="0"/>
                <w:bCs w:val="0"/>
                <w:sz w:val="20"/>
                <w:szCs w:val="20"/>
                <w:lang w:eastAsia="en-US"/>
              </w:rPr>
              <w:t>kV</w:t>
            </w:r>
            <w:proofErr w:type="spellEnd"/>
            <w:r>
              <w:rPr>
                <w:rFonts w:asciiTheme="minorHAnsi" w:hAnsiTheme="minorHAnsi" w:cstheme="minorHAnsi"/>
                <w:b w:val="0"/>
                <w:bCs w:val="0"/>
                <w:sz w:val="20"/>
                <w:szCs w:val="20"/>
                <w:lang w:eastAsia="en-US"/>
              </w:rPr>
              <w:t xml:space="preserve"> oraz złącza zasilająco-sterującego do zasilania zbiornika retencyjnego wód deszczowych</w:t>
            </w:r>
          </w:p>
          <w:p w14:paraId="1AD8B511"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 xml:space="preserve">Rodzaj inwestycji: budowa linii kablowych </w:t>
            </w:r>
            <w:proofErr w:type="spellStart"/>
            <w:r>
              <w:rPr>
                <w:rFonts w:asciiTheme="minorHAnsi" w:hAnsiTheme="minorHAnsi" w:cstheme="minorHAnsi"/>
                <w:sz w:val="20"/>
                <w:szCs w:val="20"/>
                <w:lang w:eastAsia="en-US"/>
              </w:rPr>
              <w:t>nn</w:t>
            </w:r>
            <w:proofErr w:type="spellEnd"/>
            <w:r>
              <w:rPr>
                <w:rFonts w:asciiTheme="minorHAnsi" w:hAnsiTheme="minorHAnsi" w:cstheme="minorHAnsi"/>
                <w:sz w:val="20"/>
                <w:szCs w:val="20"/>
                <w:lang w:eastAsia="en-US"/>
              </w:rPr>
              <w:t xml:space="preserve"> 0,4 </w:t>
            </w:r>
            <w:proofErr w:type="spellStart"/>
            <w:r>
              <w:rPr>
                <w:rFonts w:asciiTheme="minorHAnsi" w:hAnsiTheme="minorHAnsi" w:cstheme="minorHAnsi"/>
                <w:sz w:val="20"/>
                <w:szCs w:val="20"/>
                <w:lang w:eastAsia="en-US"/>
              </w:rPr>
              <w:t>kV</w:t>
            </w:r>
            <w:proofErr w:type="spellEnd"/>
            <w:r>
              <w:rPr>
                <w:rFonts w:asciiTheme="minorHAnsi" w:hAnsiTheme="minorHAnsi" w:cstheme="minorHAnsi"/>
                <w:sz w:val="20"/>
                <w:szCs w:val="20"/>
                <w:lang w:eastAsia="en-US"/>
              </w:rPr>
              <w:t xml:space="preserve"> oraz złącza zasilająco-sterującego do zasilania zbiornika retencyjnego wód deszczowych</w:t>
            </w:r>
          </w:p>
          <w:p w14:paraId="06A7097F"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49/2020</w:t>
            </w:r>
          </w:p>
          <w:p w14:paraId="51240914"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WAB.I.6733.41.2020.MO</w:t>
            </w:r>
          </w:p>
          <w:p w14:paraId="6E7D2A17"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przebudowa dróg ewakuacyjnych z hali sportowej w budynku nr 3 w kompleksie wojskowym</w:t>
            </w:r>
          </w:p>
          <w:p w14:paraId="52C4AECA"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przebudowa dróg ewakuacyjnych z hali sportowej w budynku nr 3 w kompleksie wojskowym</w:t>
            </w:r>
          </w:p>
          <w:p w14:paraId="5E724DBA"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1/2022</w:t>
            </w:r>
          </w:p>
          <w:p w14:paraId="621CCA4F"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WIR.II.746.1.32.2021.ML</w:t>
            </w:r>
          </w:p>
          <w:p w14:paraId="058A2E91"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xml:space="preserve">- zmiana sposobu użytkowania budynku nr 18 i zespołu pomieszczeń 48-62, 64, 89-93 budynku nr 1 w kompleksie 1164 Bydgoszcz dla </w:t>
            </w:r>
            <w:r>
              <w:rPr>
                <w:rFonts w:asciiTheme="minorHAnsi" w:hAnsiTheme="minorHAnsi" w:cstheme="minorHAnsi"/>
                <w:b w:val="0"/>
                <w:bCs w:val="0"/>
                <w:sz w:val="20"/>
                <w:szCs w:val="20"/>
                <w:lang w:eastAsia="en-US"/>
              </w:rPr>
              <w:lastRenderedPageBreak/>
              <w:t>potrzeb Rejonowego Laboratorium MPS</w:t>
            </w:r>
          </w:p>
          <w:p w14:paraId="21291970"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zmiana sposobu użytkowania budynku nr 18 i zespołu pomieszczeń 48-62, 64, 89-93 budynku nr 1 w kompleksie 1164 Bydgoszcz dla potrzeb Rejonowego Laboratorium MPS</w:t>
            </w:r>
          </w:p>
          <w:p w14:paraId="40C1B055"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43/2019</w:t>
            </w:r>
          </w:p>
          <w:p w14:paraId="61969421"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WIR.II.746.1.41.2019.ML</w:t>
            </w:r>
          </w:p>
          <w:p w14:paraId="68BD9B5D"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rozbudowa budynku Poradni Psychologiczno-Pedagogicznej o schody</w:t>
            </w:r>
          </w:p>
          <w:p w14:paraId="4CFE35C5"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rozbudowa budynku Poradni Psychologiczno-Pedagogicznej o schody</w:t>
            </w:r>
          </w:p>
          <w:p w14:paraId="4F61B17D"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92/2020</w:t>
            </w:r>
          </w:p>
          <w:p w14:paraId="71E2E9F7"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WAB.I.6733.93.2020.KSZ</w:t>
            </w:r>
          </w:p>
          <w:p w14:paraId="2936959A"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xml:space="preserve">- budowa sieci elektroenergetycznej </w:t>
            </w:r>
            <w:proofErr w:type="spellStart"/>
            <w:r>
              <w:rPr>
                <w:rFonts w:asciiTheme="minorHAnsi" w:hAnsiTheme="minorHAnsi" w:cstheme="minorHAnsi"/>
                <w:b w:val="0"/>
                <w:bCs w:val="0"/>
                <w:sz w:val="20"/>
                <w:szCs w:val="20"/>
                <w:lang w:eastAsia="en-US"/>
              </w:rPr>
              <w:t>nn</w:t>
            </w:r>
            <w:proofErr w:type="spellEnd"/>
            <w:r>
              <w:rPr>
                <w:rFonts w:asciiTheme="minorHAnsi" w:hAnsiTheme="minorHAnsi" w:cstheme="minorHAnsi"/>
                <w:b w:val="0"/>
                <w:bCs w:val="0"/>
                <w:sz w:val="20"/>
                <w:szCs w:val="20"/>
                <w:lang w:eastAsia="en-US"/>
              </w:rPr>
              <w:t xml:space="preserve"> 0,4 </w:t>
            </w:r>
            <w:proofErr w:type="spellStart"/>
            <w:r>
              <w:rPr>
                <w:rFonts w:asciiTheme="minorHAnsi" w:hAnsiTheme="minorHAnsi" w:cstheme="minorHAnsi"/>
                <w:b w:val="0"/>
                <w:bCs w:val="0"/>
                <w:sz w:val="20"/>
                <w:szCs w:val="20"/>
                <w:lang w:eastAsia="en-US"/>
              </w:rPr>
              <w:t>kV</w:t>
            </w:r>
            <w:proofErr w:type="spellEnd"/>
            <w:r>
              <w:rPr>
                <w:rFonts w:asciiTheme="minorHAnsi" w:hAnsiTheme="minorHAnsi" w:cstheme="minorHAnsi"/>
                <w:b w:val="0"/>
                <w:bCs w:val="0"/>
                <w:sz w:val="20"/>
                <w:szCs w:val="20"/>
                <w:lang w:eastAsia="en-US"/>
              </w:rPr>
              <w:t xml:space="preserve"> z szafami kablowymi i złączem kablowo-pomiarowym</w:t>
            </w:r>
          </w:p>
          <w:p w14:paraId="2E160BF0"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 xml:space="preserve">Rodzaj inwestycji: budowa sieci elektroenergetycznej </w:t>
            </w:r>
            <w:proofErr w:type="spellStart"/>
            <w:r>
              <w:rPr>
                <w:rFonts w:asciiTheme="minorHAnsi" w:hAnsiTheme="minorHAnsi" w:cstheme="minorHAnsi"/>
                <w:sz w:val="20"/>
                <w:szCs w:val="20"/>
                <w:lang w:eastAsia="en-US"/>
              </w:rPr>
              <w:t>nn</w:t>
            </w:r>
            <w:proofErr w:type="spellEnd"/>
            <w:r>
              <w:rPr>
                <w:rFonts w:asciiTheme="minorHAnsi" w:hAnsiTheme="minorHAnsi" w:cstheme="minorHAnsi"/>
                <w:sz w:val="20"/>
                <w:szCs w:val="20"/>
                <w:lang w:eastAsia="en-US"/>
              </w:rPr>
              <w:t xml:space="preserve"> 0,4 </w:t>
            </w:r>
            <w:proofErr w:type="spellStart"/>
            <w:r>
              <w:rPr>
                <w:rFonts w:asciiTheme="minorHAnsi" w:hAnsiTheme="minorHAnsi" w:cstheme="minorHAnsi"/>
                <w:sz w:val="20"/>
                <w:szCs w:val="20"/>
                <w:lang w:eastAsia="en-US"/>
              </w:rPr>
              <w:t>kV</w:t>
            </w:r>
            <w:proofErr w:type="spellEnd"/>
            <w:r>
              <w:rPr>
                <w:rFonts w:asciiTheme="minorHAnsi" w:hAnsiTheme="minorHAnsi" w:cstheme="minorHAnsi"/>
                <w:sz w:val="20"/>
                <w:szCs w:val="20"/>
                <w:lang w:eastAsia="en-US"/>
              </w:rPr>
              <w:t xml:space="preserve"> z szafami kablowymi i złączem kablowo-pomiarowym</w:t>
            </w:r>
          </w:p>
          <w:p w14:paraId="1ED4CB9C"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21/2022</w:t>
            </w:r>
          </w:p>
          <w:p w14:paraId="6493D5D8"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WAB.I.6733.24.2022.MO</w:t>
            </w:r>
          </w:p>
          <w:p w14:paraId="167FA5D3"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xml:space="preserve">- budowa sieci elektroenergetycznej </w:t>
            </w:r>
            <w:proofErr w:type="spellStart"/>
            <w:r>
              <w:rPr>
                <w:rFonts w:asciiTheme="minorHAnsi" w:hAnsiTheme="minorHAnsi" w:cstheme="minorHAnsi"/>
                <w:b w:val="0"/>
                <w:bCs w:val="0"/>
                <w:sz w:val="20"/>
                <w:szCs w:val="20"/>
                <w:lang w:eastAsia="en-US"/>
              </w:rPr>
              <w:t>nn</w:t>
            </w:r>
            <w:proofErr w:type="spellEnd"/>
            <w:r>
              <w:rPr>
                <w:rFonts w:asciiTheme="minorHAnsi" w:hAnsiTheme="minorHAnsi" w:cstheme="minorHAnsi"/>
                <w:b w:val="0"/>
                <w:bCs w:val="0"/>
                <w:sz w:val="20"/>
                <w:szCs w:val="20"/>
                <w:lang w:eastAsia="en-US"/>
              </w:rPr>
              <w:t xml:space="preserve"> 0,4 </w:t>
            </w:r>
            <w:proofErr w:type="spellStart"/>
            <w:r>
              <w:rPr>
                <w:rFonts w:asciiTheme="minorHAnsi" w:hAnsiTheme="minorHAnsi" w:cstheme="minorHAnsi"/>
                <w:b w:val="0"/>
                <w:bCs w:val="0"/>
                <w:sz w:val="20"/>
                <w:szCs w:val="20"/>
                <w:lang w:eastAsia="en-US"/>
              </w:rPr>
              <w:t>kV</w:t>
            </w:r>
            <w:proofErr w:type="spellEnd"/>
          </w:p>
          <w:p w14:paraId="3A0947C6"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 xml:space="preserve">Rodzaj inwestycji: budowa sieci elektroenergetycznej </w:t>
            </w:r>
            <w:proofErr w:type="spellStart"/>
            <w:r>
              <w:rPr>
                <w:rFonts w:asciiTheme="minorHAnsi" w:hAnsiTheme="minorHAnsi" w:cstheme="minorHAnsi"/>
                <w:sz w:val="20"/>
                <w:szCs w:val="20"/>
                <w:lang w:eastAsia="en-US"/>
              </w:rPr>
              <w:t>nn</w:t>
            </w:r>
            <w:proofErr w:type="spellEnd"/>
            <w:r>
              <w:rPr>
                <w:rFonts w:asciiTheme="minorHAnsi" w:hAnsiTheme="minorHAnsi" w:cstheme="minorHAnsi"/>
                <w:sz w:val="20"/>
                <w:szCs w:val="20"/>
                <w:lang w:eastAsia="en-US"/>
              </w:rPr>
              <w:t xml:space="preserve"> 0,4 </w:t>
            </w:r>
            <w:proofErr w:type="spellStart"/>
            <w:r>
              <w:rPr>
                <w:rFonts w:asciiTheme="minorHAnsi" w:hAnsiTheme="minorHAnsi" w:cstheme="minorHAnsi"/>
                <w:sz w:val="20"/>
                <w:szCs w:val="20"/>
                <w:lang w:eastAsia="en-US"/>
              </w:rPr>
              <w:t>kV</w:t>
            </w:r>
            <w:proofErr w:type="spellEnd"/>
          </w:p>
          <w:p w14:paraId="111352A5"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74/2019</w:t>
            </w:r>
          </w:p>
          <w:p w14:paraId="2D564402"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WAB.I.6733.69.2019.MO</w:t>
            </w:r>
          </w:p>
          <w:p w14:paraId="617BBFD1"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xml:space="preserve">- budowa gazociągu </w:t>
            </w:r>
            <w:proofErr w:type="spellStart"/>
            <w:r>
              <w:rPr>
                <w:rFonts w:asciiTheme="minorHAnsi" w:hAnsiTheme="minorHAnsi" w:cstheme="minorHAnsi"/>
                <w:b w:val="0"/>
                <w:bCs w:val="0"/>
                <w:sz w:val="20"/>
                <w:szCs w:val="20"/>
                <w:lang w:eastAsia="en-US"/>
              </w:rPr>
              <w:t>śr</w:t>
            </w:r>
            <w:proofErr w:type="spellEnd"/>
            <w:r>
              <w:rPr>
                <w:rFonts w:asciiTheme="minorHAnsi" w:hAnsiTheme="minorHAnsi" w:cstheme="minorHAnsi"/>
                <w:b w:val="0"/>
                <w:bCs w:val="0"/>
                <w:sz w:val="20"/>
                <w:szCs w:val="20"/>
                <w:lang w:eastAsia="en-US"/>
              </w:rPr>
              <w:t>/c</w:t>
            </w:r>
          </w:p>
          <w:p w14:paraId="637A8C84"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 xml:space="preserve">Rodzaj inwestycji: budowa gazociągu </w:t>
            </w:r>
            <w:proofErr w:type="spellStart"/>
            <w:r>
              <w:rPr>
                <w:rFonts w:asciiTheme="minorHAnsi" w:hAnsiTheme="minorHAnsi" w:cstheme="minorHAnsi"/>
                <w:sz w:val="20"/>
                <w:szCs w:val="20"/>
                <w:lang w:eastAsia="en-US"/>
              </w:rPr>
              <w:t>śr</w:t>
            </w:r>
            <w:proofErr w:type="spellEnd"/>
            <w:r>
              <w:rPr>
                <w:rFonts w:asciiTheme="minorHAnsi" w:hAnsiTheme="minorHAnsi" w:cstheme="minorHAnsi"/>
                <w:sz w:val="20"/>
                <w:szCs w:val="20"/>
                <w:lang w:eastAsia="en-US"/>
              </w:rPr>
              <w:t>/c</w:t>
            </w:r>
          </w:p>
          <w:p w14:paraId="6F6D8AC1"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40/2018</w:t>
            </w:r>
          </w:p>
          <w:p w14:paraId="5870F00B"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WAB.I.6733.36.2018.MO</w:t>
            </w:r>
          </w:p>
          <w:p w14:paraId="7FB5BF6B"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lastRenderedPageBreak/>
              <w:t>- budowa płyty fundamentowej pod montaż zbiornika tlenu o pojemności do 11000 litrów</w:t>
            </w:r>
          </w:p>
          <w:p w14:paraId="7A7D5B83"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budowa płyty fundamentowej pod montaż zbiornika tlenu o pojemności do 11000 litrów</w:t>
            </w:r>
          </w:p>
          <w:p w14:paraId="362CA34E"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12/2020</w:t>
            </w:r>
          </w:p>
          <w:p w14:paraId="6981C4C5"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WIR.II.746.1.3.2020.EP</w:t>
            </w:r>
          </w:p>
          <w:p w14:paraId="3266A6D0"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budowa stacji bazowej p4</w:t>
            </w:r>
          </w:p>
          <w:p w14:paraId="271A4CF6"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budowa stacji bazowej p4</w:t>
            </w:r>
          </w:p>
          <w:p w14:paraId="37073336"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6/2020</w:t>
            </w:r>
          </w:p>
          <w:p w14:paraId="2A448126"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WIR.II.746.1.56.2019.EP</w:t>
            </w:r>
          </w:p>
          <w:p w14:paraId="211B632D"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budowa kompleksu polikliniki z infrastrukturą techniczną</w:t>
            </w:r>
          </w:p>
          <w:p w14:paraId="32B87D0E"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budowa kompleksu polikliniki z infrastrukturą techniczną</w:t>
            </w:r>
          </w:p>
          <w:p w14:paraId="6AA25567"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7/2018</w:t>
            </w:r>
          </w:p>
          <w:p w14:paraId="70B35005"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WIR.II.746.1.60.2017.AK</w:t>
            </w:r>
          </w:p>
          <w:p w14:paraId="2A11B678"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xml:space="preserve">- budowa gazociągu </w:t>
            </w:r>
            <w:proofErr w:type="spellStart"/>
            <w:r>
              <w:rPr>
                <w:rFonts w:asciiTheme="minorHAnsi" w:hAnsiTheme="minorHAnsi" w:cstheme="minorHAnsi"/>
                <w:b w:val="0"/>
                <w:bCs w:val="0"/>
                <w:sz w:val="20"/>
                <w:szCs w:val="20"/>
                <w:lang w:eastAsia="en-US"/>
              </w:rPr>
              <w:t>śr</w:t>
            </w:r>
            <w:proofErr w:type="spellEnd"/>
            <w:r>
              <w:rPr>
                <w:rFonts w:asciiTheme="minorHAnsi" w:hAnsiTheme="minorHAnsi" w:cstheme="minorHAnsi"/>
                <w:b w:val="0"/>
                <w:bCs w:val="0"/>
                <w:sz w:val="20"/>
                <w:szCs w:val="20"/>
                <w:lang w:eastAsia="en-US"/>
              </w:rPr>
              <w:t>/c</w:t>
            </w:r>
          </w:p>
          <w:p w14:paraId="0491EDBE"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 xml:space="preserve">Rodzaj inwestycji: budowa gazociągu </w:t>
            </w:r>
            <w:proofErr w:type="spellStart"/>
            <w:r>
              <w:rPr>
                <w:rFonts w:asciiTheme="minorHAnsi" w:hAnsiTheme="minorHAnsi" w:cstheme="minorHAnsi"/>
                <w:sz w:val="20"/>
                <w:szCs w:val="20"/>
                <w:lang w:eastAsia="en-US"/>
              </w:rPr>
              <w:t>śr</w:t>
            </w:r>
            <w:proofErr w:type="spellEnd"/>
            <w:r>
              <w:rPr>
                <w:rFonts w:asciiTheme="minorHAnsi" w:hAnsiTheme="minorHAnsi" w:cstheme="minorHAnsi"/>
                <w:sz w:val="20"/>
                <w:szCs w:val="20"/>
                <w:lang w:eastAsia="en-US"/>
              </w:rPr>
              <w:t>/c</w:t>
            </w:r>
          </w:p>
          <w:p w14:paraId="6D5A44D3"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35/2018</w:t>
            </w:r>
          </w:p>
          <w:p w14:paraId="3B0F3256"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WAB.I.6733.24.2018.MO</w:t>
            </w:r>
          </w:p>
          <w:p w14:paraId="510AE56F"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budowa sieci wodociągowej</w:t>
            </w:r>
          </w:p>
          <w:p w14:paraId="2A10A526"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budowa sieci wodociągowej</w:t>
            </w:r>
          </w:p>
          <w:p w14:paraId="5B9C63C4"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6/2023</w:t>
            </w:r>
          </w:p>
          <w:p w14:paraId="19AC428D"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WAB.I.6733.29.2022.MO</w:t>
            </w:r>
          </w:p>
          <w:p w14:paraId="0081E7BB" w14:textId="77777777" w:rsidR="00FE44E5" w:rsidRDefault="00FE44E5" w:rsidP="00FE44E5">
            <w:pPr>
              <w:pStyle w:val="Nagwek3"/>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xml:space="preserve">- budowa elektroenergetycznej linii kablowej </w:t>
            </w:r>
            <w:proofErr w:type="spellStart"/>
            <w:r>
              <w:rPr>
                <w:rFonts w:asciiTheme="minorHAnsi" w:hAnsiTheme="minorHAnsi" w:cstheme="minorHAnsi"/>
                <w:b w:val="0"/>
                <w:bCs w:val="0"/>
                <w:sz w:val="20"/>
                <w:szCs w:val="20"/>
                <w:lang w:eastAsia="en-US"/>
              </w:rPr>
              <w:t>nn</w:t>
            </w:r>
            <w:proofErr w:type="spellEnd"/>
            <w:r>
              <w:rPr>
                <w:rFonts w:asciiTheme="minorHAnsi" w:hAnsiTheme="minorHAnsi" w:cstheme="minorHAnsi"/>
                <w:b w:val="0"/>
                <w:bCs w:val="0"/>
                <w:sz w:val="20"/>
                <w:szCs w:val="20"/>
                <w:lang w:eastAsia="en-US"/>
              </w:rPr>
              <w:t xml:space="preserve"> 0,4 </w:t>
            </w:r>
            <w:proofErr w:type="spellStart"/>
            <w:r>
              <w:rPr>
                <w:rFonts w:asciiTheme="minorHAnsi" w:hAnsiTheme="minorHAnsi" w:cstheme="minorHAnsi"/>
                <w:b w:val="0"/>
                <w:bCs w:val="0"/>
                <w:sz w:val="20"/>
                <w:szCs w:val="20"/>
                <w:lang w:eastAsia="en-US"/>
              </w:rPr>
              <w:t>kV</w:t>
            </w:r>
            <w:proofErr w:type="spellEnd"/>
            <w:r>
              <w:rPr>
                <w:rFonts w:asciiTheme="minorHAnsi" w:hAnsiTheme="minorHAnsi" w:cstheme="minorHAnsi"/>
                <w:b w:val="0"/>
                <w:bCs w:val="0"/>
                <w:sz w:val="20"/>
                <w:szCs w:val="20"/>
                <w:lang w:eastAsia="en-US"/>
              </w:rPr>
              <w:t xml:space="preserve"> oraz szafy kablowo-pomiarowej</w:t>
            </w:r>
          </w:p>
          <w:p w14:paraId="12A38F82"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 xml:space="preserve">Rodzaj inwestycji: budowa elektroenergetycznej linii kablowej </w:t>
            </w:r>
            <w:proofErr w:type="spellStart"/>
            <w:r>
              <w:rPr>
                <w:rFonts w:asciiTheme="minorHAnsi" w:hAnsiTheme="minorHAnsi" w:cstheme="minorHAnsi"/>
                <w:sz w:val="20"/>
                <w:szCs w:val="20"/>
                <w:lang w:eastAsia="en-US"/>
              </w:rPr>
              <w:t>nn</w:t>
            </w:r>
            <w:proofErr w:type="spellEnd"/>
            <w:r>
              <w:rPr>
                <w:rFonts w:asciiTheme="minorHAnsi" w:hAnsiTheme="minorHAnsi" w:cstheme="minorHAnsi"/>
                <w:sz w:val="20"/>
                <w:szCs w:val="20"/>
                <w:lang w:eastAsia="en-US"/>
              </w:rPr>
              <w:t xml:space="preserve"> 0,4 </w:t>
            </w:r>
            <w:proofErr w:type="spellStart"/>
            <w:r>
              <w:rPr>
                <w:rFonts w:asciiTheme="minorHAnsi" w:hAnsiTheme="minorHAnsi" w:cstheme="minorHAnsi"/>
                <w:sz w:val="20"/>
                <w:szCs w:val="20"/>
                <w:lang w:eastAsia="en-US"/>
              </w:rPr>
              <w:t>kV</w:t>
            </w:r>
            <w:proofErr w:type="spellEnd"/>
            <w:r>
              <w:rPr>
                <w:rFonts w:asciiTheme="minorHAnsi" w:hAnsiTheme="minorHAnsi" w:cstheme="minorHAnsi"/>
                <w:sz w:val="20"/>
                <w:szCs w:val="20"/>
                <w:lang w:eastAsia="en-US"/>
              </w:rPr>
              <w:t xml:space="preserve"> oraz szafy kablowo-pomiarowej</w:t>
            </w:r>
          </w:p>
          <w:p w14:paraId="27C525E7"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43/2019</w:t>
            </w:r>
          </w:p>
          <w:p w14:paraId="514BCC52"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Znak sprawy: WAB.I.6733.31.2019.KSZ</w:t>
            </w:r>
          </w:p>
          <w:p w14:paraId="63EA4D3A"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budowa komór technologicznych wraz z przynależną infrastrukturą dla zagospodarowania wód deszczowych</w:t>
            </w:r>
          </w:p>
          <w:p w14:paraId="2EA18DBA"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budowa komór technologicznych wraz z przynależną infrastrukturą dla zagospodarowania wód deszczowych</w:t>
            </w:r>
          </w:p>
          <w:p w14:paraId="06C6E261"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44/2023</w:t>
            </w:r>
          </w:p>
          <w:p w14:paraId="16E7537F"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WAB.I.6733.41.2023.MO</w:t>
            </w:r>
          </w:p>
          <w:p w14:paraId="437AE1B7"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budowa sieci ciepłowniczej </w:t>
            </w:r>
          </w:p>
          <w:p w14:paraId="5C31F442"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budowa sieci ciepłowniczej </w:t>
            </w:r>
          </w:p>
          <w:p w14:paraId="03746C76"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40/2023</w:t>
            </w:r>
          </w:p>
          <w:p w14:paraId="24718E3C"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WAB.I.6733.33.2023.MO</w:t>
            </w:r>
          </w:p>
          <w:p w14:paraId="336A6372"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p>
          <w:p w14:paraId="1375E97A"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Ustalenie warunków zabudowy: </w:t>
            </w:r>
          </w:p>
          <w:p w14:paraId="2D8AB7BA"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budowa hali konstrukcji z częścią socjalno- biurową wraz z niezbędną infrastrukturą techniczną</w:t>
            </w:r>
          </w:p>
          <w:p w14:paraId="3DB71C35"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budowa hali konstrukcji z częścią socjalno- biurową wraz z niezbędną infrastrukturą techniczną</w:t>
            </w:r>
          </w:p>
          <w:p w14:paraId="34C1FB97"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75/2024</w:t>
            </w:r>
          </w:p>
          <w:p w14:paraId="10DD9DA2"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WAB.I.6730.30.2024.AO</w:t>
            </w:r>
          </w:p>
          <w:p w14:paraId="20F51829"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budowa zespołu budynków mieszkalnych wielorodzinnych z częścią usługowo-handlową</w:t>
            </w:r>
          </w:p>
          <w:p w14:paraId="75AC9B3B"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budowa zespołu budynków mieszkalnych wielorodzinnych z częścią usługowo-handlową</w:t>
            </w:r>
          </w:p>
          <w:p w14:paraId="79CC2B6E"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42/2022</w:t>
            </w:r>
          </w:p>
          <w:p w14:paraId="28AB04B0"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WAB.I.6730.315.2021.AO</w:t>
            </w:r>
          </w:p>
          <w:p w14:paraId="43DF92CD"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budowa maksymalnie dwóch budynków mieszkalnych wielorodzinnych</w:t>
            </w:r>
          </w:p>
          <w:p w14:paraId="730FAB85"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Rodzaj inwestycji: budowa maksymalnie dwóch budynków mieszkalnych wielorodzinnych</w:t>
            </w:r>
          </w:p>
          <w:p w14:paraId="3B34007B"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6/2022</w:t>
            </w:r>
          </w:p>
          <w:p w14:paraId="55034F91"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Znak sprawy: WAB.I.6730.322.2020.AO</w:t>
            </w:r>
          </w:p>
          <w:p w14:paraId="7B104231" w14:textId="77777777" w:rsidR="00FE44E5" w:rsidRDefault="00FE44E5" w:rsidP="00FE44E5">
            <w:pPr>
              <w:pStyle w:val="Nagwek3"/>
              <w:shd w:val="clear" w:color="auto" w:fill="FFFFFF"/>
              <w:spacing w:before="0" w:beforeAutospacing="0" w:after="0" w:afterAutospacing="0" w:line="256" w:lineRule="auto"/>
              <w:jc w:val="center"/>
              <w:rPr>
                <w:rFonts w:asciiTheme="minorHAnsi" w:hAnsiTheme="minorHAnsi" w:cstheme="minorHAnsi"/>
                <w:b w:val="0"/>
                <w:bCs w:val="0"/>
                <w:sz w:val="20"/>
                <w:szCs w:val="20"/>
                <w:lang w:eastAsia="en-US"/>
              </w:rPr>
            </w:pPr>
            <w:r>
              <w:rPr>
                <w:rFonts w:asciiTheme="minorHAnsi" w:hAnsiTheme="minorHAnsi" w:cstheme="minorHAnsi"/>
                <w:b w:val="0"/>
                <w:bCs w:val="0"/>
                <w:sz w:val="20"/>
                <w:szCs w:val="20"/>
                <w:lang w:eastAsia="en-US"/>
              </w:rPr>
              <w:t>- zmiana sposobu użytkowania budynku hotelowego Hotel Brda na budynek mieszkalny wielorodzinny z usługami i handlem</w:t>
            </w:r>
          </w:p>
          <w:p w14:paraId="39C84DCF"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Rodzaj inwestycji: zmiana sposobu użytkowania budynku hotelowego Hotel Brda na budynek mieszkalny wielorodzinny z usługami i handlem</w:t>
            </w:r>
          </w:p>
          <w:p w14:paraId="545DC95A" w14:textId="77777777" w:rsidR="00FE44E5" w:rsidRDefault="00FE44E5" w:rsidP="00FE44E5">
            <w:pPr>
              <w:pStyle w:val="NormalnyWeb"/>
              <w:shd w:val="clear" w:color="auto" w:fill="FFFFFF"/>
              <w:spacing w:before="60" w:beforeAutospacing="0" w:after="60" w:afterAutospacing="0"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Numer: Dec. nr. 125/2019</w:t>
            </w:r>
          </w:p>
          <w:p w14:paraId="4AF82BAF" w14:textId="4F8F7C28" w:rsidR="002E7359" w:rsidRPr="002835A8" w:rsidRDefault="00FE44E5" w:rsidP="00FE44E5">
            <w:pPr>
              <w:spacing w:beforeLines="60" w:before="144" w:afterLines="60" w:after="144" w:line="240" w:lineRule="auto"/>
              <w:jc w:val="center"/>
              <w:rPr>
                <w:rFonts w:ascii="Times New Roman" w:eastAsia="Times New Roman" w:hAnsi="Times New Roman" w:cs="Times New Roman"/>
                <w:szCs w:val="20"/>
              </w:rPr>
            </w:pPr>
            <w:r>
              <w:rPr>
                <w:rFonts w:cstheme="minorHAnsi"/>
                <w:sz w:val="20"/>
                <w:szCs w:val="20"/>
              </w:rPr>
              <w:t>Znak sprawy: WAB.I.6730.67.2019.KR</w:t>
            </w:r>
          </w:p>
        </w:tc>
      </w:tr>
      <w:tr w:rsidR="002E7359" w:rsidRPr="002835A8" w14:paraId="0422AA32" w14:textId="77777777" w:rsidTr="000F440E">
        <w:trPr>
          <w:trHeight w:val="71"/>
        </w:trPr>
        <w:tc>
          <w:tcPr>
            <w:tcW w:w="3099" w:type="dxa"/>
            <w:vMerge/>
            <w:shd w:val="clear" w:color="auto" w:fill="F3F3F3"/>
          </w:tcPr>
          <w:p w14:paraId="70E9E4F5"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highlight w:val="yellow"/>
                <w:lang w:eastAsia="pl-PL"/>
              </w:rPr>
            </w:pPr>
          </w:p>
        </w:tc>
        <w:tc>
          <w:tcPr>
            <w:tcW w:w="3419" w:type="dxa"/>
            <w:shd w:val="clear" w:color="auto" w:fill="auto"/>
          </w:tcPr>
          <w:p w14:paraId="58018CC7" w14:textId="77777777" w:rsidR="002E7359" w:rsidRPr="00D13E2B" w:rsidRDefault="002E7359" w:rsidP="002E7359">
            <w:pPr>
              <w:spacing w:beforeLines="60" w:before="144" w:afterLines="60" w:after="144" w:line="240" w:lineRule="auto"/>
              <w:rPr>
                <w:rFonts w:ascii="Times New Roman" w:eastAsia="Times New Roman" w:hAnsi="Times New Roman" w:cs="Times New Roman"/>
                <w:szCs w:val="20"/>
                <w:highlight w:val="yellow"/>
              </w:rPr>
            </w:pPr>
            <w:r w:rsidRPr="00F37B0B">
              <w:rPr>
                <w:rFonts w:ascii="Times New Roman" w:eastAsia="Times New Roman" w:hAnsi="Times New Roman" w:cs="Times New Roman"/>
                <w:szCs w:val="20"/>
              </w:rPr>
              <w:t>decyzjach o środowiskowych uwarunkowaniach</w:t>
            </w:r>
          </w:p>
        </w:tc>
        <w:tc>
          <w:tcPr>
            <w:tcW w:w="3264" w:type="dxa"/>
            <w:shd w:val="clear" w:color="auto" w:fill="auto"/>
          </w:tcPr>
          <w:p w14:paraId="6652E308" w14:textId="77777777" w:rsidR="00FE44E5" w:rsidRDefault="00FE44E5" w:rsidP="00FE44E5">
            <w:pPr>
              <w:spacing w:beforeLines="60" w:before="144" w:afterLines="60" w:after="144" w:line="276" w:lineRule="auto"/>
              <w:jc w:val="both"/>
              <w:rPr>
                <w:rFonts w:eastAsia="Times New Roman" w:cstheme="minorHAnsi"/>
                <w:sz w:val="20"/>
                <w:szCs w:val="20"/>
              </w:rPr>
            </w:pPr>
            <w:r>
              <w:rPr>
                <w:rFonts w:eastAsia="Times New Roman" w:cstheme="minorHAnsi"/>
                <w:sz w:val="20"/>
                <w:szCs w:val="20"/>
              </w:rPr>
              <w:t xml:space="preserve">w ogólnodostępnym rejestrze dostępnym pod adresem: </w:t>
            </w:r>
            <w:hyperlink r:id="rId9" w:history="1">
              <w:r>
                <w:rPr>
                  <w:rStyle w:val="Hipercze"/>
                  <w:rFonts w:eastAsia="Times New Roman" w:cstheme="minorHAnsi"/>
                  <w:sz w:val="20"/>
                  <w:szCs w:val="20"/>
                </w:rPr>
                <w:t>https://bip.um.bydgoszcz.pl/artykuly/1196/wydane-decyzje</w:t>
              </w:r>
            </w:hyperlink>
            <w:r>
              <w:rPr>
                <w:rFonts w:eastAsia="Times New Roman" w:cstheme="minorHAnsi"/>
                <w:sz w:val="20"/>
                <w:szCs w:val="20"/>
              </w:rPr>
              <w:t xml:space="preserve"> oraz </w:t>
            </w:r>
            <w:hyperlink r:id="rId10" w:history="1">
              <w:r>
                <w:rPr>
                  <w:rStyle w:val="Hipercze"/>
                  <w:rFonts w:eastAsia="Times New Roman" w:cstheme="minorHAnsi"/>
                  <w:sz w:val="20"/>
                  <w:szCs w:val="20"/>
                </w:rPr>
                <w:t>https://www.gov.pl/web/rdos-bydgoszcz/mapa-strony?show-bip=true</w:t>
              </w:r>
            </w:hyperlink>
          </w:p>
          <w:p w14:paraId="4E829F36" w14:textId="14DCA5EA" w:rsidR="002E7359" w:rsidRPr="00F12EA9" w:rsidRDefault="00FE44E5" w:rsidP="00FE44E5">
            <w:pPr>
              <w:spacing w:beforeLines="60" w:before="144" w:afterLines="60" w:after="144" w:line="240" w:lineRule="auto"/>
              <w:jc w:val="both"/>
              <w:rPr>
                <w:rFonts w:ascii="Times New Roman" w:eastAsia="Times New Roman" w:hAnsi="Times New Roman" w:cs="Times New Roman"/>
                <w:szCs w:val="20"/>
              </w:rPr>
            </w:pPr>
            <w:r>
              <w:rPr>
                <w:rFonts w:eastAsia="Times New Roman" w:cstheme="minorHAnsi"/>
                <w:sz w:val="20"/>
                <w:szCs w:val="20"/>
              </w:rPr>
              <w:t>brak jest informacji o wydanych decyzjach/wszczętych postępowaniach dla tego obszaru</w:t>
            </w:r>
          </w:p>
        </w:tc>
      </w:tr>
      <w:tr w:rsidR="002E7359" w:rsidRPr="002835A8" w14:paraId="2C5173AB" w14:textId="77777777" w:rsidTr="000F440E">
        <w:trPr>
          <w:trHeight w:val="71"/>
        </w:trPr>
        <w:tc>
          <w:tcPr>
            <w:tcW w:w="3099" w:type="dxa"/>
            <w:vMerge/>
            <w:shd w:val="clear" w:color="auto" w:fill="F3F3F3"/>
          </w:tcPr>
          <w:p w14:paraId="40E7EFE5"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highlight w:val="yellow"/>
                <w:lang w:eastAsia="pl-PL"/>
              </w:rPr>
            </w:pPr>
          </w:p>
        </w:tc>
        <w:tc>
          <w:tcPr>
            <w:tcW w:w="3419" w:type="dxa"/>
            <w:shd w:val="clear" w:color="auto" w:fill="auto"/>
          </w:tcPr>
          <w:p w14:paraId="1CEAF2B8" w14:textId="3976F390" w:rsidR="002E7359" w:rsidRPr="002835A8" w:rsidRDefault="002E7359" w:rsidP="002E7359">
            <w:pPr>
              <w:spacing w:beforeLines="60" w:before="144" w:afterLines="60" w:after="144" w:line="240" w:lineRule="auto"/>
              <w:rPr>
                <w:rFonts w:ascii="Times New Roman" w:eastAsia="Times New Roman" w:hAnsi="Times New Roman" w:cs="Times New Roman"/>
                <w:szCs w:val="20"/>
              </w:rPr>
            </w:pPr>
            <w:r>
              <w:rPr>
                <w:rFonts w:ascii="Times New Roman" w:eastAsia="Times New Roman" w:hAnsi="Times New Roman" w:cs="Times New Roman"/>
                <w:szCs w:val="20"/>
              </w:rPr>
              <w:t>uchwałach</w:t>
            </w:r>
            <w:r w:rsidRPr="002835A8">
              <w:rPr>
                <w:rFonts w:ascii="Times New Roman" w:eastAsia="Times New Roman" w:hAnsi="Times New Roman" w:cs="Times New Roman"/>
                <w:szCs w:val="20"/>
              </w:rPr>
              <w:t xml:space="preserve"> o obszarach ograniczonego użytkowania</w:t>
            </w:r>
          </w:p>
        </w:tc>
        <w:tc>
          <w:tcPr>
            <w:tcW w:w="3264" w:type="dxa"/>
            <w:shd w:val="clear" w:color="auto" w:fill="auto"/>
          </w:tcPr>
          <w:p w14:paraId="7C6E3E1A" w14:textId="765CD99D" w:rsidR="002E7359" w:rsidRPr="002835A8" w:rsidRDefault="00FE44E5" w:rsidP="002E7359">
            <w:pPr>
              <w:spacing w:beforeLines="60" w:before="144" w:afterLines="60" w:after="144" w:line="240" w:lineRule="auto"/>
              <w:jc w:val="center"/>
              <w:rPr>
                <w:rFonts w:ascii="Times New Roman" w:eastAsia="Times New Roman" w:hAnsi="Times New Roman" w:cs="Times New Roman"/>
                <w:szCs w:val="20"/>
              </w:rPr>
            </w:pPr>
            <w:r>
              <w:rPr>
                <w:rFonts w:eastAsia="Times New Roman" w:cstheme="minorHAnsi"/>
                <w:sz w:val="20"/>
                <w:szCs w:val="20"/>
              </w:rPr>
              <w:t xml:space="preserve">w ogólnodostępnym rejestrze dostępnym pod adresem </w:t>
            </w:r>
            <w:hyperlink r:id="rId11" w:history="1">
              <w:r>
                <w:rPr>
                  <w:rStyle w:val="Hipercze"/>
                  <w:rFonts w:eastAsia="Times New Roman" w:cstheme="minorHAnsi"/>
                  <w:sz w:val="20"/>
                  <w:szCs w:val="20"/>
                </w:rPr>
                <w:t>https://www.prawomiejscowe.pl/UrzadMiastaBydgoszczy/tabBrowser/bags//100/Zbi%C3%B3r-uchwa%C5%82-Rady-Miasta-Bydgoszczy</w:t>
              </w:r>
            </w:hyperlink>
            <w:r>
              <w:t xml:space="preserve"> </w:t>
            </w:r>
            <w:r>
              <w:rPr>
                <w:rFonts w:eastAsia="Times New Roman" w:cstheme="minorHAnsi"/>
                <w:sz w:val="20"/>
                <w:szCs w:val="20"/>
              </w:rPr>
              <w:t>brak jest informacji o uchwałach dotyczących tego obszaru</w:t>
            </w:r>
          </w:p>
        </w:tc>
      </w:tr>
      <w:tr w:rsidR="002E7359" w:rsidRPr="002835A8" w14:paraId="34AFA01C" w14:textId="77777777" w:rsidTr="000F440E">
        <w:trPr>
          <w:trHeight w:val="71"/>
        </w:trPr>
        <w:tc>
          <w:tcPr>
            <w:tcW w:w="3099" w:type="dxa"/>
            <w:vMerge/>
            <w:shd w:val="clear" w:color="auto" w:fill="F3F3F3"/>
          </w:tcPr>
          <w:p w14:paraId="4BCF234A"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6489A240" w14:textId="77777777" w:rsidR="002E7359" w:rsidRPr="002835A8" w:rsidRDefault="002E7359" w:rsidP="002E7359">
            <w:pPr>
              <w:spacing w:beforeLines="60" w:before="144" w:afterLines="60" w:after="144" w:line="240" w:lineRule="auto"/>
              <w:rPr>
                <w:rFonts w:ascii="Times New Roman" w:eastAsia="Times New Roman" w:hAnsi="Times New Roman" w:cs="Times New Roman"/>
                <w:szCs w:val="20"/>
              </w:rPr>
            </w:pPr>
            <w:r w:rsidRPr="002835A8">
              <w:rPr>
                <w:rFonts w:ascii="Times New Roman" w:eastAsia="Times New Roman" w:hAnsi="Times New Roman" w:cs="Times New Roman"/>
                <w:szCs w:val="20"/>
              </w:rPr>
              <w:t>miejscowych planach odbudowy</w:t>
            </w:r>
          </w:p>
        </w:tc>
        <w:tc>
          <w:tcPr>
            <w:tcW w:w="3264" w:type="dxa"/>
            <w:shd w:val="clear" w:color="auto" w:fill="auto"/>
          </w:tcPr>
          <w:p w14:paraId="0F225F53" w14:textId="2A524756" w:rsidR="002E7359" w:rsidRPr="002835A8" w:rsidRDefault="00EF45DD" w:rsidP="002E7359">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Nie dotyczy</w:t>
            </w:r>
          </w:p>
        </w:tc>
      </w:tr>
      <w:tr w:rsidR="002E7359" w:rsidRPr="002835A8" w14:paraId="4BBCEE09" w14:textId="77777777" w:rsidTr="000F440E">
        <w:trPr>
          <w:trHeight w:val="71"/>
        </w:trPr>
        <w:tc>
          <w:tcPr>
            <w:tcW w:w="3099" w:type="dxa"/>
            <w:vMerge/>
            <w:shd w:val="clear" w:color="auto" w:fill="F3F3F3"/>
          </w:tcPr>
          <w:p w14:paraId="509E2B69"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5EF441CB" w14:textId="77777777" w:rsidR="002E7359" w:rsidRPr="002835A8" w:rsidRDefault="002E7359" w:rsidP="002E7359">
            <w:pPr>
              <w:spacing w:beforeLines="60" w:before="144" w:afterLines="60" w:after="144" w:line="240" w:lineRule="auto"/>
              <w:rPr>
                <w:rFonts w:ascii="Times New Roman" w:eastAsia="Times New Roman" w:hAnsi="Times New Roman" w:cs="Times New Roman"/>
                <w:szCs w:val="20"/>
              </w:rPr>
            </w:pPr>
            <w:r w:rsidRPr="002835A8">
              <w:rPr>
                <w:rFonts w:ascii="Times New Roman" w:eastAsia="Times New Roman" w:hAnsi="Times New Roman" w:cs="Times New Roman"/>
                <w:szCs w:val="20"/>
              </w:rPr>
              <w:t>mapach zagrożenia powodziowego i mapach ryzyka powodziowego</w:t>
            </w:r>
          </w:p>
        </w:tc>
        <w:tc>
          <w:tcPr>
            <w:tcW w:w="3264" w:type="dxa"/>
            <w:shd w:val="clear" w:color="auto" w:fill="auto"/>
          </w:tcPr>
          <w:p w14:paraId="5B8D031A" w14:textId="1470E668" w:rsidR="002E7359" w:rsidRPr="002835A8" w:rsidRDefault="00EF45DD" w:rsidP="002E7359">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Nie dotyczy</w:t>
            </w:r>
          </w:p>
        </w:tc>
      </w:tr>
      <w:tr w:rsidR="002E7359" w:rsidRPr="002835A8" w14:paraId="6A814F44" w14:textId="77777777" w:rsidTr="000F440E">
        <w:trPr>
          <w:trHeight w:val="71"/>
        </w:trPr>
        <w:tc>
          <w:tcPr>
            <w:tcW w:w="3099" w:type="dxa"/>
            <w:vMerge/>
            <w:shd w:val="clear" w:color="auto" w:fill="F3F3F3"/>
          </w:tcPr>
          <w:p w14:paraId="2A04B732"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6683" w:type="dxa"/>
            <w:gridSpan w:val="2"/>
            <w:shd w:val="clear" w:color="auto" w:fill="auto"/>
          </w:tcPr>
          <w:p w14:paraId="11F4D089" w14:textId="77777777" w:rsidR="002E7359" w:rsidRPr="002835A8" w:rsidRDefault="002E7359" w:rsidP="002E7359">
            <w:pPr>
              <w:widowControl w:val="0"/>
              <w:autoSpaceDE w:val="0"/>
              <w:autoSpaceDN w:val="0"/>
              <w:adjustRightInd w:val="0"/>
              <w:spacing w:after="0" w:line="240" w:lineRule="auto"/>
              <w:jc w:val="both"/>
              <w:rPr>
                <w:rFonts w:ascii="Times New Roman" w:eastAsia="Times New Roman" w:hAnsi="Times New Roman" w:cs="Times New Roman"/>
                <w:szCs w:val="20"/>
                <w:lang w:eastAsia="pl-PL"/>
              </w:rPr>
            </w:pPr>
            <w:r w:rsidRPr="002835A8">
              <w:rPr>
                <w:rFonts w:ascii="Times New Roman" w:eastAsia="Times New Roman" w:hAnsi="Times New Roman" w:cs="Times New Roman"/>
                <w:szCs w:val="20"/>
                <w:lang w:eastAsia="pl-PL"/>
              </w:rPr>
              <w:t>Ustalenia decyzji w zakresie rozmieszczenia inwestycji celu publicznego, mogące mieć znaczenie dla terenu objętego przedsięwzięciem deweloperskim lub zadaniem inwestycyjnym:</w:t>
            </w:r>
          </w:p>
          <w:p w14:paraId="77F0C34D"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highlight w:val="yellow"/>
              </w:rPr>
            </w:pPr>
          </w:p>
        </w:tc>
      </w:tr>
      <w:tr w:rsidR="002E7359" w:rsidRPr="002835A8" w14:paraId="660A6DFC" w14:textId="77777777" w:rsidTr="000F440E">
        <w:trPr>
          <w:trHeight w:val="84"/>
        </w:trPr>
        <w:tc>
          <w:tcPr>
            <w:tcW w:w="3099" w:type="dxa"/>
            <w:vMerge/>
            <w:shd w:val="clear" w:color="auto" w:fill="F3F3F3"/>
          </w:tcPr>
          <w:p w14:paraId="7DCACBED"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67FE3656" w14:textId="77777777" w:rsidR="002E7359" w:rsidRPr="00AE22AA" w:rsidRDefault="002E7359" w:rsidP="002E7359">
            <w:pPr>
              <w:spacing w:beforeLines="60" w:before="144" w:afterLines="60" w:after="144" w:line="240" w:lineRule="auto"/>
              <w:jc w:val="both"/>
              <w:rPr>
                <w:rFonts w:ascii="Times New Roman" w:eastAsia="Times New Roman" w:hAnsi="Times New Roman" w:cs="Times New Roman"/>
                <w:szCs w:val="20"/>
                <w:highlight w:val="yellow"/>
              </w:rPr>
            </w:pPr>
            <w:r w:rsidRPr="00870B07">
              <w:rPr>
                <w:rFonts w:ascii="Times New Roman" w:eastAsia="Times New Roman" w:hAnsi="Times New Roman" w:cs="Times New Roman"/>
                <w:szCs w:val="20"/>
              </w:rPr>
              <w:t>decyzja o zezwoleniu na realizację inwestycji drogowej</w:t>
            </w:r>
          </w:p>
        </w:tc>
        <w:tc>
          <w:tcPr>
            <w:tcW w:w="3264" w:type="dxa"/>
            <w:shd w:val="clear" w:color="auto" w:fill="auto"/>
          </w:tcPr>
          <w:p w14:paraId="1E77692C" w14:textId="37C32DEA" w:rsidR="002E7359" w:rsidRPr="00AE22AA" w:rsidRDefault="00B84559" w:rsidP="002E7359">
            <w:pPr>
              <w:spacing w:beforeLines="60" w:before="144" w:afterLines="60" w:after="144" w:line="240" w:lineRule="auto"/>
              <w:jc w:val="center"/>
              <w:rPr>
                <w:rFonts w:ascii="Times New Roman" w:eastAsia="Times New Roman" w:hAnsi="Times New Roman" w:cs="Times New Roman"/>
                <w:szCs w:val="20"/>
                <w:highlight w:val="yellow"/>
              </w:rPr>
            </w:pPr>
            <w:r>
              <w:rPr>
                <w:rFonts w:eastAsia="Times New Roman" w:cstheme="minorHAnsi"/>
                <w:sz w:val="20"/>
                <w:szCs w:val="20"/>
              </w:rPr>
              <w:t xml:space="preserve">W ogólnodostępnym rejestrze decyzji, pod adresem </w:t>
            </w:r>
            <w:hyperlink r:id="rId12" w:history="1">
              <w:r>
                <w:rPr>
                  <w:rStyle w:val="Hipercze"/>
                  <w:rFonts w:eastAsia="Times New Roman" w:cstheme="minorHAnsi"/>
                  <w:sz w:val="20"/>
                  <w:szCs w:val="20"/>
                </w:rPr>
                <w:t>https://bip.um.bydgoszcz.pl</w:t>
              </w:r>
            </w:hyperlink>
            <w:r>
              <w:rPr>
                <w:rFonts w:eastAsia="Times New Roman" w:cstheme="minorHAnsi"/>
                <w:sz w:val="20"/>
                <w:szCs w:val="20"/>
              </w:rPr>
              <w:t xml:space="preserve">  brak jest informacji o tego rodzaju inwestycjach dla danego obszaru</w:t>
            </w:r>
          </w:p>
        </w:tc>
      </w:tr>
      <w:tr w:rsidR="002E7359" w:rsidRPr="002835A8" w14:paraId="211DD5DC" w14:textId="77777777" w:rsidTr="000F440E">
        <w:trPr>
          <w:trHeight w:val="81"/>
        </w:trPr>
        <w:tc>
          <w:tcPr>
            <w:tcW w:w="3099" w:type="dxa"/>
            <w:vMerge/>
            <w:shd w:val="clear" w:color="auto" w:fill="F3F3F3"/>
          </w:tcPr>
          <w:p w14:paraId="392A54CF"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28045122" w14:textId="77777777" w:rsidR="002E7359" w:rsidRPr="00C042D7" w:rsidRDefault="002E7359" w:rsidP="002E7359">
            <w:pPr>
              <w:spacing w:beforeLines="60" w:before="144" w:afterLines="60" w:after="144" w:line="240" w:lineRule="auto"/>
              <w:jc w:val="both"/>
              <w:rPr>
                <w:rFonts w:ascii="Times New Roman" w:eastAsia="Times New Roman" w:hAnsi="Times New Roman" w:cs="Times New Roman"/>
                <w:szCs w:val="20"/>
              </w:rPr>
            </w:pPr>
            <w:r w:rsidRPr="00C042D7">
              <w:rPr>
                <w:rFonts w:ascii="Times New Roman" w:eastAsia="Times New Roman" w:hAnsi="Times New Roman" w:cs="Times New Roman"/>
                <w:szCs w:val="20"/>
              </w:rPr>
              <w:t>decyzja o ustaleniu lokalizacji linii kolejowej</w:t>
            </w:r>
          </w:p>
        </w:tc>
        <w:tc>
          <w:tcPr>
            <w:tcW w:w="3264" w:type="dxa"/>
            <w:shd w:val="clear" w:color="auto" w:fill="auto"/>
          </w:tcPr>
          <w:p w14:paraId="48A94737" w14:textId="3945D4B9" w:rsidR="002E7359" w:rsidRPr="00C042D7" w:rsidRDefault="00B84559" w:rsidP="002E7359">
            <w:pPr>
              <w:spacing w:beforeLines="60" w:before="144" w:afterLines="60" w:after="144" w:line="240" w:lineRule="auto"/>
              <w:jc w:val="center"/>
              <w:rPr>
                <w:rFonts w:ascii="Times New Roman" w:eastAsia="Times New Roman" w:hAnsi="Times New Roman" w:cs="Times New Roman"/>
                <w:szCs w:val="20"/>
              </w:rPr>
            </w:pPr>
            <w:r>
              <w:rPr>
                <w:rFonts w:eastAsia="Times New Roman" w:cstheme="minorHAnsi"/>
                <w:sz w:val="20"/>
                <w:szCs w:val="20"/>
              </w:rPr>
              <w:t xml:space="preserve">W ogólnodostępnym rejestrze decyzji, pod adresem </w:t>
            </w:r>
            <w:hyperlink r:id="rId13" w:history="1">
              <w:r>
                <w:rPr>
                  <w:rStyle w:val="Hipercze"/>
                  <w:rFonts w:eastAsia="Times New Roman" w:cstheme="minorHAnsi"/>
                  <w:sz w:val="20"/>
                  <w:szCs w:val="20"/>
                </w:rPr>
                <w:t>https://bip.um.bydgoszcz.pl</w:t>
              </w:r>
            </w:hyperlink>
            <w:r>
              <w:rPr>
                <w:rFonts w:eastAsia="Times New Roman" w:cstheme="minorHAnsi"/>
                <w:sz w:val="20"/>
                <w:szCs w:val="20"/>
              </w:rPr>
              <w:t xml:space="preserve"> brak jest informacji o tego rodzaju inwestycjach dla danego obszaru</w:t>
            </w:r>
          </w:p>
        </w:tc>
      </w:tr>
      <w:tr w:rsidR="002E7359" w:rsidRPr="002835A8" w14:paraId="288B6F4F" w14:textId="77777777" w:rsidTr="000F440E">
        <w:trPr>
          <w:trHeight w:val="81"/>
        </w:trPr>
        <w:tc>
          <w:tcPr>
            <w:tcW w:w="3099" w:type="dxa"/>
            <w:vMerge/>
            <w:shd w:val="clear" w:color="auto" w:fill="F3F3F3"/>
          </w:tcPr>
          <w:p w14:paraId="10A21A56"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35D91EAC"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decyzja o zezwoleniu na realizację inwestycji w zakresie lotniska użytku publicznego</w:t>
            </w:r>
          </w:p>
        </w:tc>
        <w:tc>
          <w:tcPr>
            <w:tcW w:w="3264" w:type="dxa"/>
            <w:shd w:val="clear" w:color="auto" w:fill="auto"/>
          </w:tcPr>
          <w:p w14:paraId="657A869F" w14:textId="4D2D0BFB" w:rsidR="002E7359" w:rsidRPr="002835A8" w:rsidRDefault="00B84559" w:rsidP="002E7359">
            <w:pPr>
              <w:spacing w:beforeLines="60" w:before="144" w:afterLines="60" w:after="144" w:line="240" w:lineRule="auto"/>
              <w:jc w:val="center"/>
              <w:rPr>
                <w:rFonts w:ascii="Times New Roman" w:eastAsia="Times New Roman" w:hAnsi="Times New Roman" w:cs="Times New Roman"/>
                <w:szCs w:val="20"/>
              </w:rPr>
            </w:pPr>
            <w:r>
              <w:rPr>
                <w:rFonts w:eastAsia="Times New Roman" w:cstheme="minorHAnsi"/>
                <w:sz w:val="20"/>
                <w:szCs w:val="20"/>
              </w:rPr>
              <w:t xml:space="preserve">W ogólnodostępnym rejestrze decyzji, pod adresem </w:t>
            </w:r>
            <w:hyperlink r:id="rId14" w:history="1">
              <w:r>
                <w:rPr>
                  <w:rStyle w:val="Hipercze"/>
                  <w:rFonts w:eastAsia="Times New Roman" w:cstheme="minorHAnsi"/>
                  <w:sz w:val="20"/>
                  <w:szCs w:val="20"/>
                </w:rPr>
                <w:t>https://bip.um.bydgoszcz.pl</w:t>
              </w:r>
            </w:hyperlink>
            <w:r>
              <w:rPr>
                <w:rFonts w:eastAsia="Times New Roman" w:cstheme="minorHAnsi"/>
                <w:sz w:val="20"/>
                <w:szCs w:val="20"/>
              </w:rPr>
              <w:t xml:space="preserve"> brak jest informacji o tego rodzaju inwestycjach dla danego obszaru</w:t>
            </w:r>
          </w:p>
        </w:tc>
      </w:tr>
      <w:tr w:rsidR="002E7359" w:rsidRPr="002835A8" w14:paraId="4B724F78" w14:textId="77777777" w:rsidTr="000F440E">
        <w:trPr>
          <w:trHeight w:val="81"/>
        </w:trPr>
        <w:tc>
          <w:tcPr>
            <w:tcW w:w="3099" w:type="dxa"/>
            <w:vMerge/>
            <w:shd w:val="clear" w:color="auto" w:fill="F3F3F3"/>
          </w:tcPr>
          <w:p w14:paraId="0839F29C"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321CF409"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decyzja o pozwoleniu na realizację inwestycji w zakresie budowli przeciwpowodziowych</w:t>
            </w:r>
          </w:p>
        </w:tc>
        <w:tc>
          <w:tcPr>
            <w:tcW w:w="3264" w:type="dxa"/>
            <w:shd w:val="clear" w:color="auto" w:fill="auto"/>
          </w:tcPr>
          <w:p w14:paraId="1BCABAF0" w14:textId="239A490C" w:rsidR="002E7359" w:rsidRPr="002835A8" w:rsidRDefault="00B84559" w:rsidP="002E7359">
            <w:pPr>
              <w:spacing w:beforeLines="60" w:before="144" w:afterLines="60" w:after="144" w:line="240" w:lineRule="auto"/>
              <w:jc w:val="center"/>
              <w:rPr>
                <w:rFonts w:ascii="Times New Roman" w:eastAsia="Times New Roman" w:hAnsi="Times New Roman" w:cs="Times New Roman"/>
                <w:szCs w:val="20"/>
              </w:rPr>
            </w:pPr>
            <w:r>
              <w:rPr>
                <w:rFonts w:eastAsia="Times New Roman" w:cstheme="minorHAnsi"/>
                <w:sz w:val="20"/>
                <w:szCs w:val="20"/>
              </w:rPr>
              <w:t xml:space="preserve">W ogólnodostępnym rejestrze decyzji, pod adresem </w:t>
            </w:r>
            <w:hyperlink r:id="rId15" w:history="1">
              <w:r>
                <w:rPr>
                  <w:rStyle w:val="Hipercze"/>
                  <w:rFonts w:eastAsia="Times New Roman" w:cstheme="minorHAnsi"/>
                  <w:sz w:val="20"/>
                  <w:szCs w:val="20"/>
                </w:rPr>
                <w:t>https://bip.um.bydgoszcz.pl</w:t>
              </w:r>
            </w:hyperlink>
            <w:r>
              <w:rPr>
                <w:rFonts w:eastAsia="Times New Roman" w:cstheme="minorHAnsi"/>
                <w:sz w:val="20"/>
                <w:szCs w:val="20"/>
              </w:rPr>
              <w:t xml:space="preserve"> brak jest informacji o tego rodzaju inwestycjach dla danego obszaru</w:t>
            </w:r>
          </w:p>
        </w:tc>
      </w:tr>
      <w:tr w:rsidR="002E7359" w:rsidRPr="002835A8" w14:paraId="08F3651C" w14:textId="77777777" w:rsidTr="000F440E">
        <w:trPr>
          <w:trHeight w:val="81"/>
        </w:trPr>
        <w:tc>
          <w:tcPr>
            <w:tcW w:w="3099" w:type="dxa"/>
            <w:vMerge/>
            <w:shd w:val="clear" w:color="auto" w:fill="F3F3F3"/>
          </w:tcPr>
          <w:p w14:paraId="7B5F96F7"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1D2F82E9"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highlight w:val="yellow"/>
              </w:rPr>
            </w:pPr>
            <w:r w:rsidRPr="002835A8">
              <w:rPr>
                <w:rFonts w:ascii="Times New Roman" w:eastAsia="Times New Roman" w:hAnsi="Times New Roman" w:cs="Times New Roman"/>
                <w:szCs w:val="20"/>
              </w:rPr>
              <w:t>decyzja o ustaleniu lokalizacji inwestycji w zakresie budowy obiektu energetyki jądrowej</w:t>
            </w:r>
          </w:p>
        </w:tc>
        <w:tc>
          <w:tcPr>
            <w:tcW w:w="3264" w:type="dxa"/>
            <w:shd w:val="clear" w:color="auto" w:fill="auto"/>
          </w:tcPr>
          <w:p w14:paraId="42BDDDD1" w14:textId="47ED95BD" w:rsidR="002E7359" w:rsidRPr="002835A8" w:rsidRDefault="00B84559" w:rsidP="002E7359">
            <w:pPr>
              <w:spacing w:beforeLines="60" w:before="144" w:afterLines="60" w:after="144" w:line="240" w:lineRule="auto"/>
              <w:jc w:val="center"/>
              <w:rPr>
                <w:rFonts w:ascii="Times New Roman" w:eastAsia="Times New Roman" w:hAnsi="Times New Roman" w:cs="Times New Roman"/>
                <w:szCs w:val="20"/>
                <w:highlight w:val="yellow"/>
              </w:rPr>
            </w:pPr>
            <w:r>
              <w:rPr>
                <w:rFonts w:eastAsia="Times New Roman" w:cstheme="minorHAnsi"/>
                <w:sz w:val="20"/>
                <w:szCs w:val="20"/>
              </w:rPr>
              <w:t xml:space="preserve">W ogólnodostępnym rejestrze decyzji, pod adresem </w:t>
            </w:r>
            <w:hyperlink r:id="rId16" w:history="1">
              <w:r>
                <w:rPr>
                  <w:rStyle w:val="Hipercze"/>
                  <w:rFonts w:eastAsia="Times New Roman" w:cstheme="minorHAnsi"/>
                  <w:sz w:val="20"/>
                  <w:szCs w:val="20"/>
                </w:rPr>
                <w:t>https://bip.um.bydgoszcz.pl</w:t>
              </w:r>
            </w:hyperlink>
            <w:r>
              <w:rPr>
                <w:rFonts w:eastAsia="Times New Roman" w:cstheme="minorHAnsi"/>
                <w:sz w:val="20"/>
                <w:szCs w:val="20"/>
              </w:rPr>
              <w:t xml:space="preserve"> brak jest informacji o tego rodzaju inwestycjach dla danego obszaru</w:t>
            </w:r>
          </w:p>
        </w:tc>
      </w:tr>
      <w:tr w:rsidR="002E7359" w:rsidRPr="002835A8" w14:paraId="5441AA98" w14:textId="77777777" w:rsidTr="000F440E">
        <w:trPr>
          <w:trHeight w:val="81"/>
        </w:trPr>
        <w:tc>
          <w:tcPr>
            <w:tcW w:w="3099" w:type="dxa"/>
            <w:vMerge/>
            <w:shd w:val="clear" w:color="auto" w:fill="F3F3F3"/>
          </w:tcPr>
          <w:p w14:paraId="7C7A8FE7"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04EF7B9F"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decyzja o ustaleniu lokalizacji strategicznej inwestycji w zakresie sieci przesyłowej</w:t>
            </w:r>
          </w:p>
        </w:tc>
        <w:tc>
          <w:tcPr>
            <w:tcW w:w="3264" w:type="dxa"/>
            <w:shd w:val="clear" w:color="auto" w:fill="auto"/>
          </w:tcPr>
          <w:p w14:paraId="7266290C" w14:textId="3F49268D" w:rsidR="002E7359" w:rsidRPr="002835A8" w:rsidRDefault="00B84559" w:rsidP="002E7359">
            <w:pPr>
              <w:spacing w:beforeLines="60" w:before="144" w:afterLines="60" w:after="144" w:line="240" w:lineRule="auto"/>
              <w:jc w:val="center"/>
              <w:rPr>
                <w:rFonts w:ascii="Times New Roman" w:eastAsia="Times New Roman" w:hAnsi="Times New Roman" w:cs="Times New Roman"/>
                <w:szCs w:val="20"/>
              </w:rPr>
            </w:pPr>
            <w:r>
              <w:rPr>
                <w:rFonts w:eastAsia="Times New Roman" w:cstheme="minorHAnsi"/>
                <w:sz w:val="20"/>
                <w:szCs w:val="20"/>
              </w:rPr>
              <w:t xml:space="preserve">W ogólnodostępnym rejestrze decyzji, pod adresem </w:t>
            </w:r>
            <w:hyperlink r:id="rId17" w:history="1">
              <w:r>
                <w:rPr>
                  <w:rStyle w:val="Hipercze"/>
                  <w:rFonts w:eastAsia="Times New Roman" w:cstheme="minorHAnsi"/>
                  <w:sz w:val="20"/>
                  <w:szCs w:val="20"/>
                </w:rPr>
                <w:t>https://bip.um.bydgoszcz.pl</w:t>
              </w:r>
            </w:hyperlink>
            <w:r>
              <w:rPr>
                <w:rFonts w:eastAsia="Times New Roman" w:cstheme="minorHAnsi"/>
                <w:sz w:val="20"/>
                <w:szCs w:val="20"/>
              </w:rPr>
              <w:t xml:space="preserve"> brak jest informacji o tego rodzaju inwestycjach dla danego obszaru</w:t>
            </w:r>
          </w:p>
        </w:tc>
      </w:tr>
      <w:tr w:rsidR="002E7359" w:rsidRPr="002835A8" w14:paraId="70975817" w14:textId="77777777" w:rsidTr="000F440E">
        <w:trPr>
          <w:trHeight w:val="81"/>
        </w:trPr>
        <w:tc>
          <w:tcPr>
            <w:tcW w:w="3099" w:type="dxa"/>
            <w:vMerge/>
            <w:shd w:val="clear" w:color="auto" w:fill="F3F3F3"/>
          </w:tcPr>
          <w:p w14:paraId="763A5F29"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38618ED9"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highlight w:val="yellow"/>
              </w:rPr>
            </w:pPr>
            <w:r w:rsidRPr="002835A8">
              <w:rPr>
                <w:rFonts w:ascii="Times New Roman" w:eastAsia="Times New Roman" w:hAnsi="Times New Roman" w:cs="Times New Roman"/>
                <w:szCs w:val="20"/>
              </w:rPr>
              <w:t>decyzja o ustaleniu lokalizacji regionalnej sieci szerokopasmowej</w:t>
            </w:r>
          </w:p>
        </w:tc>
        <w:tc>
          <w:tcPr>
            <w:tcW w:w="3264" w:type="dxa"/>
            <w:shd w:val="clear" w:color="auto" w:fill="auto"/>
          </w:tcPr>
          <w:p w14:paraId="11B1E47D" w14:textId="7782FA11" w:rsidR="002E7359" w:rsidRPr="002835A8" w:rsidRDefault="00B84559" w:rsidP="002E7359">
            <w:pPr>
              <w:spacing w:beforeLines="60" w:before="144" w:afterLines="60" w:after="144" w:line="240" w:lineRule="auto"/>
              <w:jc w:val="center"/>
              <w:rPr>
                <w:rFonts w:ascii="Times New Roman" w:eastAsia="Times New Roman" w:hAnsi="Times New Roman" w:cs="Times New Roman"/>
                <w:szCs w:val="20"/>
                <w:highlight w:val="yellow"/>
              </w:rPr>
            </w:pPr>
            <w:r>
              <w:rPr>
                <w:rFonts w:eastAsia="Times New Roman" w:cstheme="minorHAnsi"/>
                <w:sz w:val="20"/>
                <w:szCs w:val="20"/>
              </w:rPr>
              <w:t xml:space="preserve">W ogólnodostępnym rejestrze decyzji, pod adresem </w:t>
            </w:r>
            <w:hyperlink r:id="rId18" w:history="1">
              <w:r>
                <w:rPr>
                  <w:rStyle w:val="Hipercze"/>
                  <w:rFonts w:eastAsia="Times New Roman" w:cstheme="minorHAnsi"/>
                  <w:sz w:val="20"/>
                  <w:szCs w:val="20"/>
                </w:rPr>
                <w:t>https://bip.um.bydgoszcz.pl</w:t>
              </w:r>
            </w:hyperlink>
            <w:r>
              <w:rPr>
                <w:rFonts w:eastAsia="Times New Roman" w:cstheme="minorHAnsi"/>
                <w:sz w:val="20"/>
                <w:szCs w:val="20"/>
              </w:rPr>
              <w:t xml:space="preserve"> brak jest informacji o tego rodzaju inwestycjach dla danego obszaru</w:t>
            </w:r>
          </w:p>
        </w:tc>
      </w:tr>
      <w:tr w:rsidR="002E7359" w:rsidRPr="002835A8" w14:paraId="3FB29E36" w14:textId="77777777" w:rsidTr="000F440E">
        <w:trPr>
          <w:trHeight w:val="81"/>
        </w:trPr>
        <w:tc>
          <w:tcPr>
            <w:tcW w:w="3099" w:type="dxa"/>
            <w:vMerge/>
            <w:shd w:val="clear" w:color="auto" w:fill="F3F3F3"/>
          </w:tcPr>
          <w:p w14:paraId="791B4B89"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272DB73D"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decyzja o ustaleniu lokalizacji inwestycji w zakresie Centralnego Portu Komunikacyjnego </w:t>
            </w:r>
          </w:p>
        </w:tc>
        <w:tc>
          <w:tcPr>
            <w:tcW w:w="3264" w:type="dxa"/>
            <w:shd w:val="clear" w:color="auto" w:fill="auto"/>
          </w:tcPr>
          <w:p w14:paraId="1FDB6B5D" w14:textId="4977336B" w:rsidR="002E7359" w:rsidRPr="002835A8" w:rsidRDefault="00B84559" w:rsidP="002E7359">
            <w:pPr>
              <w:spacing w:beforeLines="60" w:before="144" w:afterLines="60" w:after="144" w:line="240" w:lineRule="auto"/>
              <w:jc w:val="center"/>
              <w:rPr>
                <w:rFonts w:ascii="Times New Roman" w:eastAsia="Times New Roman" w:hAnsi="Times New Roman" w:cs="Times New Roman"/>
                <w:szCs w:val="20"/>
              </w:rPr>
            </w:pPr>
            <w:r>
              <w:rPr>
                <w:rFonts w:eastAsia="Times New Roman" w:cstheme="minorHAnsi"/>
                <w:sz w:val="20"/>
                <w:szCs w:val="20"/>
              </w:rPr>
              <w:t xml:space="preserve">W ogólnodostępnym rejestrze decyzji, pod adresem </w:t>
            </w:r>
            <w:hyperlink r:id="rId19" w:history="1">
              <w:r>
                <w:rPr>
                  <w:rStyle w:val="Hipercze"/>
                  <w:rFonts w:eastAsia="Times New Roman" w:cstheme="minorHAnsi"/>
                  <w:sz w:val="20"/>
                  <w:szCs w:val="20"/>
                </w:rPr>
                <w:t>https://bip.um.bydgoszcz.pl</w:t>
              </w:r>
            </w:hyperlink>
            <w:r>
              <w:rPr>
                <w:rFonts w:eastAsia="Times New Roman" w:cstheme="minorHAnsi"/>
                <w:sz w:val="20"/>
                <w:szCs w:val="20"/>
              </w:rPr>
              <w:t xml:space="preserve"> brak jest informacji o tego rodzaju inwestycjach dla danego obszaru</w:t>
            </w:r>
          </w:p>
        </w:tc>
      </w:tr>
      <w:tr w:rsidR="002E7359" w:rsidRPr="002835A8" w14:paraId="4DB36908" w14:textId="77777777" w:rsidTr="000F440E">
        <w:trPr>
          <w:trHeight w:val="81"/>
        </w:trPr>
        <w:tc>
          <w:tcPr>
            <w:tcW w:w="3099" w:type="dxa"/>
            <w:vMerge/>
            <w:shd w:val="clear" w:color="auto" w:fill="F3F3F3"/>
          </w:tcPr>
          <w:p w14:paraId="426C45C6"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4EBD93B2"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highlight w:val="yellow"/>
              </w:rPr>
            </w:pPr>
            <w:r w:rsidRPr="002835A8">
              <w:rPr>
                <w:rFonts w:ascii="Times New Roman" w:eastAsia="Times New Roman" w:hAnsi="Times New Roman" w:cs="Times New Roman"/>
                <w:szCs w:val="20"/>
              </w:rPr>
              <w:t>decyzja o zezwoleniu na realizację inwestycji w zakresie infrastruktury dostępowej</w:t>
            </w:r>
          </w:p>
        </w:tc>
        <w:tc>
          <w:tcPr>
            <w:tcW w:w="3264" w:type="dxa"/>
            <w:shd w:val="clear" w:color="auto" w:fill="auto"/>
          </w:tcPr>
          <w:p w14:paraId="2F21861B" w14:textId="77777777" w:rsidR="00B84559" w:rsidRDefault="00B84559" w:rsidP="00B84559">
            <w:pPr>
              <w:spacing w:beforeLines="60" w:before="144" w:afterLines="60" w:after="144" w:line="276" w:lineRule="auto"/>
              <w:jc w:val="both"/>
              <w:rPr>
                <w:rFonts w:eastAsia="Times New Roman" w:cstheme="minorHAnsi"/>
                <w:sz w:val="20"/>
                <w:szCs w:val="20"/>
              </w:rPr>
            </w:pPr>
            <w:r>
              <w:rPr>
                <w:rFonts w:eastAsia="Times New Roman" w:cstheme="minorHAnsi"/>
                <w:sz w:val="20"/>
                <w:szCs w:val="20"/>
              </w:rPr>
              <w:t xml:space="preserve">W ogólnodostępnym rejestrze decyzji, pod adresem </w:t>
            </w:r>
            <w:hyperlink r:id="rId20" w:history="1">
              <w:r>
                <w:rPr>
                  <w:rStyle w:val="Hipercze"/>
                  <w:rFonts w:eastAsia="Times New Roman" w:cstheme="minorHAnsi"/>
                  <w:sz w:val="20"/>
                  <w:szCs w:val="20"/>
                </w:rPr>
                <w:t>https://bip.um.bydgoszcz.pl</w:t>
              </w:r>
            </w:hyperlink>
            <w:r>
              <w:rPr>
                <w:rFonts w:eastAsia="Times New Roman" w:cstheme="minorHAnsi"/>
                <w:sz w:val="20"/>
                <w:szCs w:val="20"/>
              </w:rPr>
              <w:t xml:space="preserve"> zamieszczono informacje dla danego obszaru:</w:t>
            </w:r>
          </w:p>
          <w:p w14:paraId="34227FF1" w14:textId="77777777" w:rsidR="00B84559" w:rsidRDefault="00B84559" w:rsidP="00B84559">
            <w:pPr>
              <w:spacing w:beforeLines="60" w:before="144" w:afterLines="60" w:after="144" w:line="276" w:lineRule="auto"/>
              <w:jc w:val="both"/>
              <w:rPr>
                <w:rFonts w:eastAsia="Times New Roman" w:cstheme="minorHAnsi"/>
                <w:sz w:val="20"/>
                <w:szCs w:val="20"/>
              </w:rPr>
            </w:pPr>
            <w:r>
              <w:rPr>
                <w:rFonts w:eastAsia="Times New Roman" w:cstheme="minorHAnsi"/>
                <w:sz w:val="20"/>
                <w:szCs w:val="20"/>
              </w:rPr>
              <w:t>- budowa dachowej konstrukcji wsporczej wraz z instalacją radiokomunikacyjną stanowiącą stację bazową telefonii komórkowej, ul. Matejki 1a (WAB.II.6740.363.2023.RS);</w:t>
            </w:r>
          </w:p>
          <w:p w14:paraId="59D7FA8A" w14:textId="2A931AFE" w:rsidR="002E7359" w:rsidRPr="002835A8" w:rsidRDefault="00B84559" w:rsidP="00B84559">
            <w:pPr>
              <w:spacing w:beforeLines="60" w:before="144" w:afterLines="60" w:after="144" w:line="240" w:lineRule="auto"/>
              <w:jc w:val="center"/>
              <w:rPr>
                <w:rFonts w:ascii="Times New Roman" w:eastAsia="Times New Roman" w:hAnsi="Times New Roman" w:cs="Times New Roman"/>
                <w:szCs w:val="20"/>
                <w:highlight w:val="yellow"/>
              </w:rPr>
            </w:pPr>
            <w:r>
              <w:rPr>
                <w:rFonts w:eastAsia="Times New Roman" w:cstheme="minorHAnsi"/>
                <w:sz w:val="20"/>
                <w:szCs w:val="20"/>
              </w:rPr>
              <w:t>- budowa stacji bazowej telefonii komórkowej P4 wraz z instalacją radiokomunikacyjną i infrastrukturą zasilającą, ul. Gdańska 53 (WAB.II.6740.581.588.RS)</w:t>
            </w:r>
          </w:p>
        </w:tc>
      </w:tr>
      <w:tr w:rsidR="002E7359" w:rsidRPr="002835A8" w14:paraId="00E2CAE6" w14:textId="77777777" w:rsidTr="000F440E">
        <w:trPr>
          <w:trHeight w:val="81"/>
        </w:trPr>
        <w:tc>
          <w:tcPr>
            <w:tcW w:w="3099" w:type="dxa"/>
            <w:vMerge/>
            <w:shd w:val="clear" w:color="auto" w:fill="F3F3F3"/>
          </w:tcPr>
          <w:p w14:paraId="76D13D22" w14:textId="77777777" w:rsidR="002E7359" w:rsidRPr="002835A8" w:rsidRDefault="002E7359" w:rsidP="002E7359">
            <w:pPr>
              <w:widowControl w:val="0"/>
              <w:autoSpaceDE w:val="0"/>
              <w:autoSpaceDN w:val="0"/>
              <w:adjustRightInd w:val="0"/>
              <w:spacing w:after="0" w:line="240" w:lineRule="auto"/>
              <w:rPr>
                <w:rFonts w:ascii="Times New Roman" w:eastAsia="Times New Roman" w:hAnsi="Times New Roman" w:cs="Times New Roman"/>
                <w:szCs w:val="20"/>
                <w:lang w:eastAsia="pl-PL"/>
              </w:rPr>
            </w:pPr>
          </w:p>
        </w:tc>
        <w:tc>
          <w:tcPr>
            <w:tcW w:w="3419" w:type="dxa"/>
            <w:shd w:val="clear" w:color="auto" w:fill="auto"/>
          </w:tcPr>
          <w:p w14:paraId="54232A66"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lang w:eastAsia="pl-PL"/>
              </w:rPr>
            </w:pPr>
            <w:r w:rsidRPr="002835A8">
              <w:rPr>
                <w:rFonts w:ascii="Times New Roman" w:eastAsia="Times New Roman" w:hAnsi="Times New Roman" w:cs="Times New Roman"/>
                <w:szCs w:val="20"/>
                <w:lang w:eastAsia="pl-PL"/>
              </w:rPr>
              <w:t>decyzja o ustaleniu lokalizacji strategicznej inwestycji w sektorze naftowym</w:t>
            </w:r>
          </w:p>
        </w:tc>
        <w:tc>
          <w:tcPr>
            <w:tcW w:w="3264" w:type="dxa"/>
            <w:shd w:val="clear" w:color="auto" w:fill="auto"/>
          </w:tcPr>
          <w:p w14:paraId="641E7E5E" w14:textId="4726323A" w:rsidR="002E7359" w:rsidRPr="002835A8" w:rsidRDefault="00B84559" w:rsidP="002E7359">
            <w:pPr>
              <w:spacing w:beforeLines="60" w:before="144" w:afterLines="60" w:after="144" w:line="240" w:lineRule="auto"/>
              <w:jc w:val="center"/>
              <w:rPr>
                <w:rFonts w:ascii="Times New Roman" w:eastAsia="Times New Roman" w:hAnsi="Times New Roman" w:cs="Times New Roman"/>
                <w:szCs w:val="20"/>
              </w:rPr>
            </w:pPr>
            <w:r>
              <w:rPr>
                <w:rFonts w:eastAsia="Times New Roman" w:cstheme="minorHAnsi"/>
                <w:sz w:val="20"/>
                <w:szCs w:val="20"/>
              </w:rPr>
              <w:t xml:space="preserve">W ogólnodostępnym rejestrze decyzji, pod adresem </w:t>
            </w:r>
            <w:hyperlink r:id="rId21" w:history="1">
              <w:r>
                <w:rPr>
                  <w:rStyle w:val="Hipercze"/>
                  <w:rFonts w:eastAsia="Times New Roman" w:cstheme="minorHAnsi"/>
                  <w:sz w:val="20"/>
                  <w:szCs w:val="20"/>
                </w:rPr>
                <w:t>https://bip.um.bydgoszcz.pl</w:t>
              </w:r>
            </w:hyperlink>
            <w:r>
              <w:rPr>
                <w:rFonts w:eastAsia="Times New Roman" w:cstheme="minorHAnsi"/>
                <w:sz w:val="20"/>
                <w:szCs w:val="20"/>
              </w:rPr>
              <w:t xml:space="preserve"> brak jest informacji o tego rodzaju inwestycjach dla tego obszaru</w:t>
            </w:r>
          </w:p>
        </w:tc>
      </w:tr>
      <w:tr w:rsidR="002E7359" w:rsidRPr="002835A8" w14:paraId="6C7AE59D" w14:textId="77777777" w:rsidTr="000F440E">
        <w:trPr>
          <w:trHeight w:val="390"/>
        </w:trPr>
        <w:tc>
          <w:tcPr>
            <w:tcW w:w="9782" w:type="dxa"/>
            <w:gridSpan w:val="3"/>
            <w:shd w:val="clear" w:color="auto" w:fill="D9D9D9"/>
          </w:tcPr>
          <w:p w14:paraId="4FB1A104" w14:textId="184E7324" w:rsidR="002E7359" w:rsidRPr="008B07A8" w:rsidRDefault="002E7359" w:rsidP="002E7359">
            <w:pPr>
              <w:spacing w:beforeLines="60" w:before="144" w:afterLines="60" w:after="144" w:line="240" w:lineRule="auto"/>
              <w:jc w:val="both"/>
              <w:rPr>
                <w:rFonts w:ascii="Times New Roman" w:eastAsia="Times New Roman" w:hAnsi="Times New Roman" w:cs="Times New Roman"/>
                <w:b/>
                <w:szCs w:val="20"/>
              </w:rPr>
            </w:pPr>
            <w:r>
              <w:rPr>
                <w:rFonts w:ascii="Times New Roman" w:eastAsia="Times New Roman" w:hAnsi="Times New Roman" w:cs="Times New Roman"/>
                <w:b/>
                <w:szCs w:val="20"/>
              </w:rPr>
              <w:t>INFORMACJE DOTYCZĄCE BUDYNKU</w:t>
            </w:r>
          </w:p>
        </w:tc>
      </w:tr>
      <w:tr w:rsidR="002E7359" w:rsidRPr="002835A8" w14:paraId="4BEBC2BB" w14:textId="77777777" w:rsidTr="000F440E">
        <w:trPr>
          <w:trHeight w:val="390"/>
        </w:trPr>
        <w:tc>
          <w:tcPr>
            <w:tcW w:w="3099" w:type="dxa"/>
            <w:shd w:val="clear" w:color="auto" w:fill="F3F3F3"/>
          </w:tcPr>
          <w:p w14:paraId="41C7A162" w14:textId="0CF91D68"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Czy jest pozwolenie na budowę</w:t>
            </w:r>
          </w:p>
        </w:tc>
        <w:tc>
          <w:tcPr>
            <w:tcW w:w="3419" w:type="dxa"/>
            <w:shd w:val="clear" w:color="auto" w:fill="auto"/>
            <w:vAlign w:val="center"/>
          </w:tcPr>
          <w:p w14:paraId="2287156E" w14:textId="77777777" w:rsidR="002E7359" w:rsidRPr="002835A8" w:rsidRDefault="002E7359" w:rsidP="002E7359">
            <w:pPr>
              <w:spacing w:beforeLines="60" w:before="144" w:afterLines="60" w:after="144" w:line="240" w:lineRule="auto"/>
              <w:jc w:val="center"/>
              <w:rPr>
                <w:rFonts w:ascii="Times New Roman" w:eastAsia="Times New Roman" w:hAnsi="Times New Roman" w:cs="Times New Roman"/>
                <w:szCs w:val="20"/>
              </w:rPr>
            </w:pPr>
            <w:r w:rsidRPr="002835A8">
              <w:rPr>
                <w:rFonts w:ascii="Times New Roman" w:eastAsia="Times New Roman" w:hAnsi="Times New Roman" w:cs="Times New Roman"/>
                <w:szCs w:val="20"/>
              </w:rPr>
              <w:t>tak</w:t>
            </w:r>
            <w:r w:rsidRPr="002835A8">
              <w:rPr>
                <w:rFonts w:ascii="Times New Roman" w:eastAsia="Times New Roman" w:hAnsi="Times New Roman" w:cs="Times New Roman"/>
                <w:szCs w:val="20"/>
                <w:vertAlign w:val="superscript"/>
              </w:rPr>
              <w:footnoteReference w:customMarkFollows="1" w:id="8"/>
              <w:t>*</w:t>
            </w:r>
          </w:p>
        </w:tc>
        <w:tc>
          <w:tcPr>
            <w:tcW w:w="3264" w:type="dxa"/>
            <w:shd w:val="clear" w:color="auto" w:fill="auto"/>
            <w:vAlign w:val="center"/>
          </w:tcPr>
          <w:p w14:paraId="334DD4DC" w14:textId="77777777" w:rsidR="002E7359" w:rsidRPr="002835A8" w:rsidRDefault="002E7359" w:rsidP="002E7359">
            <w:pPr>
              <w:spacing w:beforeLines="60" w:before="144" w:afterLines="60" w:after="144" w:line="240" w:lineRule="auto"/>
              <w:jc w:val="center"/>
              <w:rPr>
                <w:rFonts w:ascii="Times New Roman" w:eastAsia="Times New Roman" w:hAnsi="Times New Roman" w:cs="Times New Roman"/>
                <w:strike/>
                <w:szCs w:val="20"/>
              </w:rPr>
            </w:pPr>
            <w:r w:rsidRPr="002835A8">
              <w:rPr>
                <w:rFonts w:ascii="Times New Roman" w:eastAsia="Times New Roman" w:hAnsi="Times New Roman" w:cs="Times New Roman"/>
                <w:strike/>
                <w:szCs w:val="20"/>
              </w:rPr>
              <w:t>nie*</w:t>
            </w:r>
          </w:p>
        </w:tc>
      </w:tr>
      <w:tr w:rsidR="002E7359" w:rsidRPr="002835A8" w14:paraId="4D299852" w14:textId="77777777" w:rsidTr="000F440E">
        <w:trPr>
          <w:trHeight w:val="390"/>
        </w:trPr>
        <w:tc>
          <w:tcPr>
            <w:tcW w:w="3099" w:type="dxa"/>
            <w:shd w:val="clear" w:color="auto" w:fill="F3F3F3"/>
          </w:tcPr>
          <w:p w14:paraId="2E9A4C5D"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Czy pozwolenie na budowę jest ostateczne</w:t>
            </w:r>
          </w:p>
        </w:tc>
        <w:tc>
          <w:tcPr>
            <w:tcW w:w="3419" w:type="dxa"/>
            <w:shd w:val="clear" w:color="auto" w:fill="auto"/>
            <w:vAlign w:val="center"/>
          </w:tcPr>
          <w:p w14:paraId="707049C0" w14:textId="77777777" w:rsidR="002E7359" w:rsidRPr="002835A8" w:rsidRDefault="002E7359" w:rsidP="002E7359">
            <w:pPr>
              <w:spacing w:beforeLines="60" w:before="144" w:afterLines="60" w:after="144" w:line="240" w:lineRule="auto"/>
              <w:jc w:val="center"/>
              <w:rPr>
                <w:rFonts w:ascii="Times New Roman" w:eastAsia="Times New Roman" w:hAnsi="Times New Roman" w:cs="Times New Roman"/>
                <w:szCs w:val="20"/>
              </w:rPr>
            </w:pPr>
            <w:r w:rsidRPr="002835A8">
              <w:rPr>
                <w:rFonts w:ascii="Times New Roman" w:eastAsia="Times New Roman" w:hAnsi="Times New Roman" w:cs="Times New Roman"/>
                <w:szCs w:val="20"/>
              </w:rPr>
              <w:t>tak*</w:t>
            </w:r>
          </w:p>
        </w:tc>
        <w:tc>
          <w:tcPr>
            <w:tcW w:w="3264" w:type="dxa"/>
            <w:shd w:val="clear" w:color="auto" w:fill="auto"/>
            <w:vAlign w:val="center"/>
          </w:tcPr>
          <w:p w14:paraId="1ECA2CE9" w14:textId="77777777" w:rsidR="002E7359" w:rsidRPr="002835A8" w:rsidRDefault="002E7359" w:rsidP="002E7359">
            <w:pPr>
              <w:spacing w:beforeLines="60" w:before="144" w:afterLines="60" w:after="144" w:line="240" w:lineRule="auto"/>
              <w:jc w:val="center"/>
              <w:rPr>
                <w:rFonts w:ascii="Times New Roman" w:eastAsia="Times New Roman" w:hAnsi="Times New Roman" w:cs="Times New Roman"/>
                <w:strike/>
                <w:szCs w:val="20"/>
              </w:rPr>
            </w:pPr>
            <w:r w:rsidRPr="002835A8">
              <w:rPr>
                <w:rFonts w:ascii="Times New Roman" w:eastAsia="Times New Roman" w:hAnsi="Times New Roman" w:cs="Times New Roman"/>
                <w:strike/>
                <w:szCs w:val="20"/>
              </w:rPr>
              <w:t>nie*</w:t>
            </w:r>
          </w:p>
        </w:tc>
      </w:tr>
      <w:tr w:rsidR="002E7359" w:rsidRPr="002835A8" w14:paraId="78996A26" w14:textId="77777777" w:rsidTr="000F440E">
        <w:trPr>
          <w:trHeight w:val="390"/>
        </w:trPr>
        <w:tc>
          <w:tcPr>
            <w:tcW w:w="3099" w:type="dxa"/>
            <w:shd w:val="clear" w:color="auto" w:fill="F3F3F3"/>
          </w:tcPr>
          <w:p w14:paraId="4FC56C09"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Czy pozwolenie na budowę jest zaskarżone</w:t>
            </w:r>
          </w:p>
        </w:tc>
        <w:tc>
          <w:tcPr>
            <w:tcW w:w="3419" w:type="dxa"/>
            <w:shd w:val="clear" w:color="auto" w:fill="auto"/>
            <w:vAlign w:val="center"/>
          </w:tcPr>
          <w:p w14:paraId="63CE84D6" w14:textId="77777777" w:rsidR="002E7359" w:rsidRPr="002835A8" w:rsidRDefault="002E7359" w:rsidP="002E7359">
            <w:pPr>
              <w:spacing w:beforeLines="60" w:before="144" w:afterLines="60" w:after="144" w:line="240" w:lineRule="auto"/>
              <w:jc w:val="center"/>
              <w:rPr>
                <w:rFonts w:ascii="Times New Roman" w:eastAsia="Times New Roman" w:hAnsi="Times New Roman" w:cs="Times New Roman"/>
                <w:strike/>
                <w:szCs w:val="20"/>
              </w:rPr>
            </w:pPr>
            <w:r w:rsidRPr="002835A8">
              <w:rPr>
                <w:rFonts w:ascii="Times New Roman" w:eastAsia="Times New Roman" w:hAnsi="Times New Roman" w:cs="Times New Roman"/>
                <w:strike/>
                <w:szCs w:val="20"/>
              </w:rPr>
              <w:t>tak*</w:t>
            </w:r>
          </w:p>
        </w:tc>
        <w:tc>
          <w:tcPr>
            <w:tcW w:w="3264" w:type="dxa"/>
            <w:shd w:val="clear" w:color="auto" w:fill="auto"/>
            <w:vAlign w:val="center"/>
          </w:tcPr>
          <w:p w14:paraId="04CAF158" w14:textId="77777777" w:rsidR="002E7359" w:rsidRPr="002835A8" w:rsidRDefault="002E7359" w:rsidP="002E7359">
            <w:pPr>
              <w:spacing w:beforeLines="60" w:before="144" w:afterLines="60" w:after="144" w:line="240" w:lineRule="auto"/>
              <w:jc w:val="center"/>
              <w:rPr>
                <w:rFonts w:ascii="Times New Roman" w:eastAsia="Times New Roman" w:hAnsi="Times New Roman" w:cs="Times New Roman"/>
                <w:szCs w:val="20"/>
              </w:rPr>
            </w:pPr>
            <w:r w:rsidRPr="002835A8">
              <w:rPr>
                <w:rFonts w:ascii="Times New Roman" w:eastAsia="Times New Roman" w:hAnsi="Times New Roman" w:cs="Times New Roman"/>
                <w:szCs w:val="20"/>
              </w:rPr>
              <w:t>nie*</w:t>
            </w:r>
          </w:p>
        </w:tc>
      </w:tr>
      <w:tr w:rsidR="002E7359" w:rsidRPr="002835A8" w14:paraId="01F6EC8A" w14:textId="77777777" w:rsidTr="000F440E">
        <w:trPr>
          <w:trHeight w:val="195"/>
        </w:trPr>
        <w:tc>
          <w:tcPr>
            <w:tcW w:w="3099" w:type="dxa"/>
            <w:shd w:val="clear" w:color="auto" w:fill="F3F3F3"/>
          </w:tcPr>
          <w:p w14:paraId="308A21F3"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Numer pozwolenia na budowę oraz nazwa organu, który je wydał</w:t>
            </w:r>
          </w:p>
        </w:tc>
        <w:tc>
          <w:tcPr>
            <w:tcW w:w="6683" w:type="dxa"/>
            <w:gridSpan w:val="2"/>
            <w:shd w:val="clear" w:color="auto" w:fill="auto"/>
          </w:tcPr>
          <w:p w14:paraId="3E4541B7" w14:textId="68AC023A" w:rsidR="002E7359" w:rsidRPr="002835A8" w:rsidRDefault="00EB3A1E" w:rsidP="002E7359">
            <w:pPr>
              <w:pStyle w:val="TableParagraph"/>
              <w:jc w:val="both"/>
              <w:rPr>
                <w:szCs w:val="20"/>
              </w:rPr>
            </w:pPr>
            <w:r>
              <w:rPr>
                <w:szCs w:val="20"/>
              </w:rPr>
              <w:t xml:space="preserve">Decyzja nr. 111/2021 z dnia 05.03.2021. wydana przez Prezydenta Miasta Bydgoszczy </w:t>
            </w:r>
          </w:p>
        </w:tc>
      </w:tr>
      <w:tr w:rsidR="002E7359" w:rsidRPr="002835A8" w14:paraId="0BD85C39" w14:textId="77777777" w:rsidTr="000F440E">
        <w:trPr>
          <w:trHeight w:val="195"/>
        </w:trPr>
        <w:tc>
          <w:tcPr>
            <w:tcW w:w="3099" w:type="dxa"/>
            <w:shd w:val="clear" w:color="auto" w:fill="F3F3F3"/>
          </w:tcPr>
          <w:p w14:paraId="78DD228D"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Data uprawomocnienia się decyzji o pozwoleniu na użytkowanie budynku</w:t>
            </w:r>
          </w:p>
        </w:tc>
        <w:tc>
          <w:tcPr>
            <w:tcW w:w="6683" w:type="dxa"/>
            <w:gridSpan w:val="2"/>
            <w:shd w:val="clear" w:color="auto" w:fill="auto"/>
          </w:tcPr>
          <w:p w14:paraId="568372CF" w14:textId="40F44F10"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Budynek w budowie.</w:t>
            </w:r>
          </w:p>
        </w:tc>
      </w:tr>
      <w:tr w:rsidR="002E7359" w:rsidRPr="002835A8" w14:paraId="0204ACB5" w14:textId="77777777" w:rsidTr="000F440E">
        <w:trPr>
          <w:trHeight w:val="195"/>
        </w:trPr>
        <w:tc>
          <w:tcPr>
            <w:tcW w:w="3099" w:type="dxa"/>
            <w:shd w:val="clear" w:color="auto" w:fill="F3F3F3"/>
          </w:tcPr>
          <w:p w14:paraId="0656B533"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Data zakończenia budowy domu jednorodzinnego </w:t>
            </w:r>
          </w:p>
        </w:tc>
        <w:tc>
          <w:tcPr>
            <w:tcW w:w="6683" w:type="dxa"/>
            <w:gridSpan w:val="2"/>
            <w:shd w:val="clear" w:color="auto" w:fill="auto"/>
          </w:tcPr>
          <w:p w14:paraId="47722BBC" w14:textId="120D7312" w:rsidR="002E7359" w:rsidRPr="002835A8" w:rsidRDefault="003020C3" w:rsidP="002E7359">
            <w:pPr>
              <w:spacing w:beforeLines="60" w:before="144" w:afterLines="60" w:after="144" w:line="240" w:lineRule="auto"/>
              <w:rPr>
                <w:rFonts w:ascii="Times New Roman" w:eastAsia="Times New Roman" w:hAnsi="Times New Roman" w:cs="Times New Roman"/>
                <w:szCs w:val="20"/>
              </w:rPr>
            </w:pPr>
            <w:r>
              <w:rPr>
                <w:rFonts w:ascii="Times New Roman" w:eastAsia="Times New Roman" w:hAnsi="Times New Roman" w:cs="Times New Roman"/>
                <w:szCs w:val="20"/>
              </w:rPr>
              <w:t xml:space="preserve">Nie dotyczy </w:t>
            </w:r>
          </w:p>
        </w:tc>
      </w:tr>
      <w:tr w:rsidR="002E7359" w:rsidRPr="002835A8" w14:paraId="0E3C88C3" w14:textId="77777777" w:rsidTr="000F440E">
        <w:trPr>
          <w:trHeight w:val="195"/>
        </w:trPr>
        <w:tc>
          <w:tcPr>
            <w:tcW w:w="3099" w:type="dxa"/>
            <w:shd w:val="clear" w:color="auto" w:fill="F3F3F3"/>
          </w:tcPr>
          <w:p w14:paraId="08625454"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lastRenderedPageBreak/>
              <w:t>Planowany termin rozpoczęcia i zakończenia robót budowlanych</w:t>
            </w:r>
          </w:p>
        </w:tc>
        <w:tc>
          <w:tcPr>
            <w:tcW w:w="6683" w:type="dxa"/>
            <w:gridSpan w:val="2"/>
            <w:shd w:val="clear" w:color="auto" w:fill="auto"/>
          </w:tcPr>
          <w:p w14:paraId="114FBDF3" w14:textId="14177E3F" w:rsidR="002E7359" w:rsidRDefault="003020C3" w:rsidP="002E7359">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 xml:space="preserve">Rozpoczęcie </w:t>
            </w:r>
            <w:r w:rsidRPr="00277C10">
              <w:rPr>
                <w:rFonts w:ascii="Times New Roman" w:eastAsia="Times New Roman" w:hAnsi="Times New Roman" w:cs="Times New Roman"/>
                <w:b/>
                <w:bCs/>
                <w:szCs w:val="20"/>
              </w:rPr>
              <w:t>02.03.2024</w:t>
            </w:r>
            <w:r w:rsidR="00277C10">
              <w:rPr>
                <w:rFonts w:ascii="Times New Roman" w:eastAsia="Times New Roman" w:hAnsi="Times New Roman" w:cs="Times New Roman"/>
                <w:b/>
                <w:bCs/>
                <w:szCs w:val="20"/>
              </w:rPr>
              <w:t xml:space="preserve"> </w:t>
            </w:r>
            <w:r w:rsidRPr="00277C10">
              <w:rPr>
                <w:rFonts w:ascii="Times New Roman" w:eastAsia="Times New Roman" w:hAnsi="Times New Roman" w:cs="Times New Roman"/>
                <w:b/>
                <w:bCs/>
                <w:szCs w:val="20"/>
              </w:rPr>
              <w:t>r</w:t>
            </w:r>
          </w:p>
          <w:p w14:paraId="3F49D350" w14:textId="713B8984" w:rsidR="003020C3" w:rsidRPr="002835A8" w:rsidRDefault="003020C3" w:rsidP="002E7359">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 xml:space="preserve">Zakończenie </w:t>
            </w:r>
            <w:r w:rsidRPr="00277C10">
              <w:rPr>
                <w:rFonts w:ascii="Times New Roman" w:eastAsia="Times New Roman" w:hAnsi="Times New Roman" w:cs="Times New Roman"/>
                <w:b/>
                <w:bCs/>
                <w:szCs w:val="20"/>
              </w:rPr>
              <w:t>30.06.202</w:t>
            </w:r>
            <w:r w:rsidR="00277C10">
              <w:rPr>
                <w:rFonts w:ascii="Times New Roman" w:eastAsia="Times New Roman" w:hAnsi="Times New Roman" w:cs="Times New Roman"/>
                <w:b/>
                <w:bCs/>
                <w:szCs w:val="20"/>
              </w:rPr>
              <w:t>6</w:t>
            </w:r>
            <w:r w:rsidRPr="00277C10">
              <w:rPr>
                <w:rFonts w:ascii="Times New Roman" w:eastAsia="Times New Roman" w:hAnsi="Times New Roman" w:cs="Times New Roman"/>
                <w:b/>
                <w:bCs/>
                <w:szCs w:val="20"/>
              </w:rPr>
              <w:t xml:space="preserve"> r</w:t>
            </w:r>
          </w:p>
        </w:tc>
      </w:tr>
      <w:tr w:rsidR="002E7359" w:rsidRPr="002835A8" w14:paraId="1F41E918" w14:textId="77777777" w:rsidTr="000F440E">
        <w:trPr>
          <w:trHeight w:val="325"/>
        </w:trPr>
        <w:tc>
          <w:tcPr>
            <w:tcW w:w="3099" w:type="dxa"/>
            <w:vMerge w:val="restart"/>
            <w:shd w:val="clear" w:color="auto" w:fill="F3F3F3"/>
          </w:tcPr>
          <w:p w14:paraId="435749D3"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p w14:paraId="06B80B35" w14:textId="77777777" w:rsidR="002E7359" w:rsidRPr="002835A8" w:rsidRDefault="002E7359" w:rsidP="002E7359">
            <w:pPr>
              <w:spacing w:beforeLines="60" w:before="144" w:afterLines="60" w:after="144" w:line="240" w:lineRule="auto"/>
              <w:rPr>
                <w:rFonts w:ascii="Times New Roman" w:eastAsia="Times New Roman" w:hAnsi="Times New Roman" w:cs="Times New Roman"/>
                <w:szCs w:val="20"/>
              </w:rPr>
            </w:pPr>
            <w:r w:rsidRPr="002835A8">
              <w:rPr>
                <w:rFonts w:ascii="Times New Roman" w:eastAsia="Times New Roman" w:hAnsi="Times New Roman" w:cs="Times New Roman"/>
                <w:szCs w:val="20"/>
              </w:rPr>
              <w:t>Opis przedsięwzięcia deweloperskiego albo zadania inwestycyjnego</w:t>
            </w:r>
          </w:p>
          <w:p w14:paraId="5D92A4C7"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5DC84CCB"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Liczba budynków </w:t>
            </w:r>
          </w:p>
        </w:tc>
        <w:tc>
          <w:tcPr>
            <w:tcW w:w="3264" w:type="dxa"/>
            <w:shd w:val="clear" w:color="auto" w:fill="auto"/>
          </w:tcPr>
          <w:p w14:paraId="6836F42A" w14:textId="2843A32C" w:rsidR="002E7359" w:rsidRPr="002835A8" w:rsidRDefault="006629EE" w:rsidP="002E7359">
            <w:pPr>
              <w:pStyle w:val="TableParagraph"/>
              <w:jc w:val="both"/>
              <w:rPr>
                <w:szCs w:val="20"/>
              </w:rPr>
            </w:pPr>
            <w:r>
              <w:rPr>
                <w:szCs w:val="20"/>
              </w:rPr>
              <w:t xml:space="preserve">1 </w:t>
            </w:r>
          </w:p>
        </w:tc>
      </w:tr>
      <w:tr w:rsidR="002E7359" w:rsidRPr="002835A8" w14:paraId="32D9C5AC" w14:textId="77777777" w:rsidTr="000F440E">
        <w:trPr>
          <w:trHeight w:val="325"/>
        </w:trPr>
        <w:tc>
          <w:tcPr>
            <w:tcW w:w="3099" w:type="dxa"/>
            <w:vMerge/>
            <w:shd w:val="clear" w:color="auto" w:fill="F3F3F3"/>
          </w:tcPr>
          <w:p w14:paraId="3E97FE88"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shd w:val="clear" w:color="auto" w:fill="auto"/>
          </w:tcPr>
          <w:p w14:paraId="680C85D0"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Rozmieszczenie budynków na nieruchomości (należy podać minimalny odstęp między budynkami)</w:t>
            </w:r>
          </w:p>
        </w:tc>
        <w:tc>
          <w:tcPr>
            <w:tcW w:w="3264" w:type="dxa"/>
            <w:shd w:val="clear" w:color="auto" w:fill="auto"/>
          </w:tcPr>
          <w:p w14:paraId="437677AB" w14:textId="4DC7F4FB" w:rsidR="002E7359" w:rsidRPr="002835A8" w:rsidRDefault="002E113C" w:rsidP="006629EE">
            <w:pPr>
              <w:spacing w:beforeLines="60" w:before="144" w:afterLines="60" w:after="144" w:line="240" w:lineRule="auto"/>
              <w:rPr>
                <w:rFonts w:ascii="Times New Roman" w:eastAsia="Times New Roman" w:hAnsi="Times New Roman" w:cs="Times New Roman"/>
                <w:szCs w:val="20"/>
              </w:rPr>
            </w:pPr>
            <w:r>
              <w:rPr>
                <w:rFonts w:ascii="Times New Roman" w:eastAsia="Times New Roman" w:hAnsi="Times New Roman" w:cs="Times New Roman"/>
                <w:szCs w:val="20"/>
              </w:rPr>
              <w:t>Dwie części nadziemne połączone garażem</w:t>
            </w:r>
          </w:p>
        </w:tc>
      </w:tr>
      <w:tr w:rsidR="002E7359" w:rsidRPr="002835A8" w14:paraId="7809D19E" w14:textId="77777777" w:rsidTr="000F440E">
        <w:trPr>
          <w:trHeight w:val="488"/>
        </w:trPr>
        <w:tc>
          <w:tcPr>
            <w:tcW w:w="3099" w:type="dxa"/>
            <w:shd w:val="clear" w:color="auto" w:fill="F3F3F3"/>
          </w:tcPr>
          <w:p w14:paraId="67811633"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Sposób pomiaru powierzchni użytkowej lokalu mieszkalnego albo domu jednorodzinnego</w:t>
            </w:r>
          </w:p>
        </w:tc>
        <w:tc>
          <w:tcPr>
            <w:tcW w:w="6683" w:type="dxa"/>
            <w:gridSpan w:val="2"/>
            <w:shd w:val="clear" w:color="auto" w:fill="auto"/>
          </w:tcPr>
          <w:p w14:paraId="5E3D7DA3" w14:textId="608496B3" w:rsidR="002E7359" w:rsidRPr="002835A8" w:rsidRDefault="00E03D8E" w:rsidP="002E7359">
            <w:pPr>
              <w:spacing w:beforeLines="60" w:before="144" w:afterLines="60" w:after="144" w:line="240" w:lineRule="auto"/>
              <w:jc w:val="both"/>
              <w:rPr>
                <w:rFonts w:ascii="Times New Roman" w:eastAsia="Times New Roman" w:hAnsi="Times New Roman" w:cs="Times New Roman"/>
                <w:szCs w:val="20"/>
              </w:rPr>
            </w:pPr>
            <w:r>
              <w:rPr>
                <w:rFonts w:ascii="Calibri" w:hAnsi="Calibri" w:cs="Calibri"/>
                <w:sz w:val="20"/>
                <w:szCs w:val="20"/>
              </w:rPr>
              <w:t>Norma PN-ISO 9836:1997 bez uwzględnienia powierzchni zewnętrznych nie zamkniętych ze wszystkich stron dostępnych z pomieszczeń mieszkalnych (balkonów, tarasów, loggii) z uwzględnieniem powierzchni pod ściankami działowymi nadającymi się do demontażu</w:t>
            </w:r>
          </w:p>
        </w:tc>
      </w:tr>
      <w:tr w:rsidR="002E7359" w:rsidRPr="002835A8" w14:paraId="0CAFF076" w14:textId="77777777" w:rsidTr="000F440E">
        <w:tc>
          <w:tcPr>
            <w:tcW w:w="3099" w:type="dxa"/>
            <w:vMerge w:val="restart"/>
            <w:shd w:val="clear" w:color="auto" w:fill="F3F3F3"/>
          </w:tcPr>
          <w:p w14:paraId="2BBBA0D2"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Zamierzony sposób i procentowy udział źródeł finansowania przedsięwzięcia deweloperskiego lub zadania inwestycyjnego</w:t>
            </w:r>
          </w:p>
          <w:p w14:paraId="58156D08"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tcPr>
          <w:p w14:paraId="4904B674" w14:textId="77777777" w:rsidR="002E7359" w:rsidRPr="002835A8" w:rsidDel="00E703EC"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Rodzaj posiadanych środków finansowych – kredyt, środki własne, inne</w:t>
            </w:r>
          </w:p>
        </w:tc>
        <w:tc>
          <w:tcPr>
            <w:tcW w:w="3264" w:type="dxa"/>
          </w:tcPr>
          <w:p w14:paraId="54D86538" w14:textId="6EFF786B" w:rsidR="002E7359" w:rsidRPr="002835A8" w:rsidRDefault="002E7359" w:rsidP="002E7359">
            <w:pPr>
              <w:spacing w:beforeLines="60" w:before="144" w:afterLines="60" w:after="144" w:line="240" w:lineRule="auto"/>
              <w:jc w:val="center"/>
              <w:rPr>
                <w:rFonts w:ascii="Times New Roman" w:eastAsia="Times New Roman" w:hAnsi="Times New Roman" w:cs="Times New Roman"/>
                <w:szCs w:val="20"/>
              </w:rPr>
            </w:pPr>
            <w:r w:rsidRPr="002835A8">
              <w:rPr>
                <w:rFonts w:ascii="Times New Roman" w:hAnsi="Times New Roman" w:cs="Times New Roman"/>
                <w:szCs w:val="20"/>
              </w:rPr>
              <w:t>środki własne</w:t>
            </w:r>
            <w:r w:rsidR="00F44278">
              <w:rPr>
                <w:rFonts w:ascii="Times New Roman" w:hAnsi="Times New Roman" w:cs="Times New Roman"/>
                <w:szCs w:val="20"/>
              </w:rPr>
              <w:t xml:space="preserve"> – 2</w:t>
            </w:r>
            <w:r w:rsidR="0085178A">
              <w:rPr>
                <w:rFonts w:ascii="Times New Roman" w:hAnsi="Times New Roman" w:cs="Times New Roman"/>
                <w:szCs w:val="20"/>
              </w:rPr>
              <w:t>0</w:t>
            </w:r>
            <w:r w:rsidR="00F44278">
              <w:rPr>
                <w:rFonts w:ascii="Times New Roman" w:hAnsi="Times New Roman" w:cs="Times New Roman"/>
                <w:szCs w:val="20"/>
              </w:rPr>
              <w:t>%</w:t>
            </w:r>
            <w:r w:rsidR="002D2EDB">
              <w:rPr>
                <w:rFonts w:ascii="Times New Roman" w:hAnsi="Times New Roman" w:cs="Times New Roman"/>
                <w:szCs w:val="20"/>
              </w:rPr>
              <w:t xml:space="preserve">, kredyt </w:t>
            </w:r>
            <w:r w:rsidR="00F44278">
              <w:rPr>
                <w:rFonts w:ascii="Times New Roman" w:hAnsi="Times New Roman" w:cs="Times New Roman"/>
                <w:szCs w:val="20"/>
              </w:rPr>
              <w:t>– 80%</w:t>
            </w:r>
          </w:p>
        </w:tc>
      </w:tr>
      <w:tr w:rsidR="002E7359" w:rsidRPr="002835A8" w14:paraId="1B40CA58" w14:textId="77777777" w:rsidTr="000F440E">
        <w:tc>
          <w:tcPr>
            <w:tcW w:w="3099" w:type="dxa"/>
            <w:vMerge/>
            <w:shd w:val="clear" w:color="auto" w:fill="F3F3F3"/>
          </w:tcPr>
          <w:p w14:paraId="54A88D8C"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tcPr>
          <w:p w14:paraId="614B13EA"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W następujących instytucjach finansowych (wypełnia się w przypadku kredytu)</w:t>
            </w:r>
          </w:p>
        </w:tc>
        <w:tc>
          <w:tcPr>
            <w:tcW w:w="3264" w:type="dxa"/>
          </w:tcPr>
          <w:p w14:paraId="1847F2F8" w14:textId="0B3E52CD" w:rsidR="002E7359" w:rsidRPr="002835A8" w:rsidRDefault="0019789B" w:rsidP="0019789B">
            <w:pPr>
              <w:spacing w:beforeLines="60" w:before="144" w:afterLines="60" w:after="144" w:line="240" w:lineRule="auto"/>
              <w:rPr>
                <w:rFonts w:ascii="Times New Roman" w:eastAsia="Times New Roman" w:hAnsi="Times New Roman" w:cs="Times New Roman"/>
                <w:szCs w:val="20"/>
              </w:rPr>
            </w:pPr>
            <w:r>
              <w:rPr>
                <w:rFonts w:ascii="Times New Roman" w:eastAsia="Times New Roman" w:hAnsi="Times New Roman" w:cs="Times New Roman"/>
                <w:szCs w:val="20"/>
              </w:rPr>
              <w:t>mBank S.A</w:t>
            </w:r>
          </w:p>
        </w:tc>
      </w:tr>
      <w:tr w:rsidR="002E7359" w:rsidRPr="002835A8" w14:paraId="51021B8C" w14:textId="77777777" w:rsidTr="000F440E">
        <w:trPr>
          <w:trHeight w:val="1481"/>
        </w:trPr>
        <w:tc>
          <w:tcPr>
            <w:tcW w:w="3099" w:type="dxa"/>
            <w:vMerge w:val="restart"/>
            <w:shd w:val="clear" w:color="auto" w:fill="F3F3F3"/>
          </w:tcPr>
          <w:p w14:paraId="1F9F58EE" w14:textId="77777777" w:rsidR="002E7359" w:rsidRPr="002835A8" w:rsidRDefault="002E7359" w:rsidP="002E7359">
            <w:pPr>
              <w:spacing w:beforeLines="60" w:before="144" w:afterLines="60" w:after="144" w:line="240" w:lineRule="auto"/>
              <w:rPr>
                <w:rFonts w:ascii="Times New Roman" w:eastAsia="Times New Roman" w:hAnsi="Times New Roman" w:cs="Times New Roman"/>
                <w:szCs w:val="20"/>
              </w:rPr>
            </w:pPr>
            <w:r w:rsidRPr="002835A8">
              <w:rPr>
                <w:rFonts w:ascii="Times New Roman" w:eastAsia="Times New Roman" w:hAnsi="Times New Roman" w:cs="Times New Roman"/>
                <w:szCs w:val="20"/>
              </w:rPr>
              <w:t>Środki ochrony nabywców</w:t>
            </w:r>
          </w:p>
        </w:tc>
        <w:tc>
          <w:tcPr>
            <w:tcW w:w="3419" w:type="dxa"/>
          </w:tcPr>
          <w:p w14:paraId="3F235676"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Otwarty mieszkaniowy rachunek powierniczy*</w:t>
            </w:r>
          </w:p>
        </w:tc>
        <w:tc>
          <w:tcPr>
            <w:tcW w:w="3264" w:type="dxa"/>
          </w:tcPr>
          <w:p w14:paraId="49B8C8F4"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trike/>
                <w:szCs w:val="20"/>
              </w:rPr>
            </w:pPr>
            <w:r w:rsidRPr="002835A8">
              <w:rPr>
                <w:rFonts w:ascii="Times New Roman" w:eastAsia="Times New Roman" w:hAnsi="Times New Roman" w:cs="Times New Roman"/>
                <w:strike/>
                <w:szCs w:val="20"/>
              </w:rPr>
              <w:t>Zamknięty mieszkaniowy rachunek powierniczy*</w:t>
            </w:r>
          </w:p>
        </w:tc>
      </w:tr>
      <w:tr w:rsidR="002E7359" w:rsidRPr="002835A8" w14:paraId="4F5AADC3" w14:textId="77777777" w:rsidTr="000F440E">
        <w:tc>
          <w:tcPr>
            <w:tcW w:w="3099" w:type="dxa"/>
            <w:vMerge/>
            <w:shd w:val="clear" w:color="auto" w:fill="F3F3F3"/>
          </w:tcPr>
          <w:p w14:paraId="58E79AB5"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c>
          <w:tcPr>
            <w:tcW w:w="3419" w:type="dxa"/>
          </w:tcPr>
          <w:p w14:paraId="4826EB38" w14:textId="5857595F"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Wysokość stawki procentowej, według której jest obliczana kwota składki na Deweloperski Fundusz Gwarancyjny</w:t>
            </w:r>
            <w:r w:rsidRPr="002835A8">
              <w:rPr>
                <w:rStyle w:val="Odwoanieprzypisudolnego"/>
                <w:rFonts w:ascii="Times New Roman" w:eastAsia="Times New Roman" w:hAnsi="Times New Roman"/>
                <w:szCs w:val="20"/>
              </w:rPr>
              <w:footnoteReference w:customMarkFollows="1" w:id="9"/>
              <w:t>7)</w:t>
            </w:r>
            <w:r w:rsidRPr="002835A8">
              <w:rPr>
                <w:rFonts w:ascii="Times New Roman" w:eastAsia="Times New Roman" w:hAnsi="Times New Roman" w:cs="Times New Roman"/>
                <w:szCs w:val="20"/>
              </w:rPr>
              <w:t xml:space="preserve"> </w:t>
            </w:r>
          </w:p>
        </w:tc>
        <w:tc>
          <w:tcPr>
            <w:tcW w:w="3264" w:type="dxa"/>
          </w:tcPr>
          <w:p w14:paraId="181A988A" w14:textId="354A9845" w:rsidR="002E7359" w:rsidRPr="00871C05" w:rsidRDefault="00871C05" w:rsidP="002E7359">
            <w:pPr>
              <w:spacing w:beforeLines="60" w:before="144" w:afterLines="60" w:after="144" w:line="240" w:lineRule="auto"/>
              <w:jc w:val="center"/>
              <w:rPr>
                <w:rFonts w:ascii="Times New Roman" w:eastAsia="Times New Roman" w:hAnsi="Times New Roman" w:cs="Times New Roman"/>
                <w:szCs w:val="20"/>
              </w:rPr>
            </w:pPr>
            <w:r w:rsidRPr="00871C05">
              <w:rPr>
                <w:rFonts w:ascii="Times New Roman" w:hAnsi="Times New Roman" w:cs="Times New Roman"/>
                <w:szCs w:val="20"/>
              </w:rPr>
              <w:t>0,45%</w:t>
            </w:r>
          </w:p>
        </w:tc>
      </w:tr>
      <w:tr w:rsidR="002E7359" w:rsidRPr="002835A8" w14:paraId="74870842" w14:textId="77777777" w:rsidTr="000F440E">
        <w:tc>
          <w:tcPr>
            <w:tcW w:w="3099" w:type="dxa"/>
            <w:shd w:val="clear" w:color="auto" w:fill="F3F3F3"/>
          </w:tcPr>
          <w:p w14:paraId="64C9048E" w14:textId="77777777" w:rsidR="002E7359" w:rsidRPr="002835A8" w:rsidRDefault="002E7359" w:rsidP="002E7359">
            <w:pPr>
              <w:spacing w:beforeLines="60" w:before="144" w:afterLines="60" w:after="144" w:line="240" w:lineRule="auto"/>
              <w:rPr>
                <w:rFonts w:ascii="Times New Roman" w:eastAsia="Times New Roman" w:hAnsi="Times New Roman" w:cs="Times New Roman"/>
                <w:szCs w:val="20"/>
              </w:rPr>
            </w:pPr>
            <w:r w:rsidRPr="002835A8">
              <w:rPr>
                <w:rFonts w:ascii="Times New Roman" w:eastAsia="Times New Roman" w:hAnsi="Times New Roman" w:cs="Times New Roman"/>
                <w:szCs w:val="20"/>
              </w:rPr>
              <w:t>Główne zasady funkcjonowania wybranego rodzaju zabezpieczenia środków nabywcy</w:t>
            </w:r>
          </w:p>
        </w:tc>
        <w:tc>
          <w:tcPr>
            <w:tcW w:w="6683" w:type="dxa"/>
            <w:gridSpan w:val="2"/>
          </w:tcPr>
          <w:p w14:paraId="4D00A487" w14:textId="77777777" w:rsidR="00612690" w:rsidRPr="00612690" w:rsidRDefault="00612690" w:rsidP="00612690">
            <w:pPr>
              <w:rPr>
                <w:rFonts w:ascii="Arial" w:hAnsi="Arial" w:cs="Arial"/>
                <w:sz w:val="18"/>
                <w:szCs w:val="18"/>
              </w:rPr>
            </w:pPr>
            <w:r w:rsidRPr="00612690">
              <w:rPr>
                <w:rFonts w:ascii="Arial" w:hAnsi="Arial" w:cs="Arial"/>
                <w:sz w:val="18"/>
                <w:szCs w:val="18"/>
              </w:rPr>
              <w:t xml:space="preserve">Deweloper oświadcza, że zgodnie z art. 6 ust. 1 pkt 1) Ustawy z dnia 20 maja 2021r. o ochronie praw nabywcy lokalu mieszkalnego lub domu jednorodzinnego oraz Deweloperskim Funduszu Gwarancyjnym. zapewnia środek ochrony w postaci otwartego mieszkaniowego rachunku powierniczego prowadzonego dla Dewelopera przez mBank S.A. z siedzibą w Warszawie, na podstawie zawartej Umowy mieszkaniowego rachunku powierniczego dla dewelopera (zwanego dalej „Rachunkiem” lub „OMRP”). Środki wpłacone przez Nabywców na OMRP mogą zostać wykorzystane przez Dewelopera wyłącznie na realizację przedsięwzięcia deweloperskiego określonego w umowie deweloperskiej. Bank ewidencjonuje wpłaty dokonane na OMRP i wypłaty z OMRP odrębnie dla </w:t>
            </w:r>
            <w:r w:rsidRPr="00612690">
              <w:rPr>
                <w:rFonts w:ascii="Arial" w:hAnsi="Arial" w:cs="Arial"/>
                <w:sz w:val="18"/>
                <w:szCs w:val="18"/>
              </w:rPr>
              <w:lastRenderedPageBreak/>
              <w:t xml:space="preserve">każdego Nabywcy, na przypisanym odrębnie dla każdego Nabywcy subkoncie, posiadającym indywidualny numer nadany dla takiego Nabywcy. </w:t>
            </w:r>
          </w:p>
          <w:p w14:paraId="2CB4B373" w14:textId="77777777" w:rsidR="00612690" w:rsidRPr="00612690" w:rsidRDefault="00612690" w:rsidP="00612690">
            <w:pPr>
              <w:rPr>
                <w:rFonts w:ascii="Arial" w:hAnsi="Arial" w:cs="Arial"/>
                <w:sz w:val="18"/>
                <w:szCs w:val="18"/>
              </w:rPr>
            </w:pPr>
            <w:r w:rsidRPr="00612690">
              <w:rPr>
                <w:rFonts w:ascii="Arial" w:hAnsi="Arial" w:cs="Arial"/>
                <w:sz w:val="18"/>
                <w:szCs w:val="18"/>
              </w:rPr>
              <w:t>Na pisemny wniosek Nabywcy  mBank  S.A. z siedzibą w Warszawie, przekaże Nabywcy informację dotyczącą wpłat i wypłat zaewidencjonowanych na przypisanym do niego indywidualnym subkoncie Nabywcy.</w:t>
            </w:r>
          </w:p>
          <w:p w14:paraId="2B55058A" w14:textId="77777777" w:rsidR="00612690" w:rsidRPr="00612690" w:rsidRDefault="00612690" w:rsidP="00612690">
            <w:pPr>
              <w:rPr>
                <w:rFonts w:ascii="Arial" w:hAnsi="Arial" w:cs="Arial"/>
                <w:sz w:val="18"/>
                <w:szCs w:val="18"/>
              </w:rPr>
            </w:pPr>
            <w:r w:rsidRPr="00612690">
              <w:rPr>
                <w:rFonts w:ascii="Arial" w:hAnsi="Arial" w:cs="Arial"/>
                <w:sz w:val="18"/>
                <w:szCs w:val="18"/>
              </w:rPr>
              <w:t>Dyspozycja wypłaty środków pieniężnych zgromadzonych na OMRP będzie realizowana po stwierdzeniu przez  mBank S.A. z siedzibą w Warszawie zakończenia danego etapu realizacji Przedsięwzięcia deweloperskiego, zgodnie z Umową Deweloperską i harmonogramem Przedsięwzięcia deweloperskiego. Weryfikacja zakończenia danego etapu realizacji Przedsięwzięcia deweloperskiego dokonywana jest przez Bank prowadzący OMRP na podstawie wpisu kierownika budowy w dzienniku budowy, potwierdzonego przez wyznaczonego przez Bank rzeczoznawcę posiadającego odpowiednie uprawnienia budowalne.</w:t>
            </w:r>
          </w:p>
          <w:p w14:paraId="77C252E6" w14:textId="77777777" w:rsidR="00612690" w:rsidRPr="00612690" w:rsidRDefault="00612690" w:rsidP="00612690">
            <w:pPr>
              <w:rPr>
                <w:rFonts w:ascii="Arial" w:hAnsi="Arial" w:cs="Arial"/>
                <w:sz w:val="18"/>
                <w:szCs w:val="18"/>
              </w:rPr>
            </w:pPr>
            <w:r w:rsidRPr="00612690">
              <w:rPr>
                <w:rFonts w:ascii="Arial" w:hAnsi="Arial" w:cs="Arial"/>
                <w:sz w:val="18"/>
                <w:szCs w:val="18"/>
              </w:rPr>
              <w:t>Wypłata środków z OMRP następuje na podstawie dyspozycji Dewelopera, przy czym każda dyspozycja podlega kontroli i zatwierdzeniu pod względem rzeczowymi finansowym. Zatwierdzenie dyspozycji pod względem rzeczowym i finansowym następuje po przeprowadzeniu kontroli dyspozycji wypłaty Dewelopera oraz załączonych do niego dokumentów przez  rzeczoznawcę działającego w imieniu Banku. Po uzyskaniu przez Dewelopera ostatecznej decyzji o pozwoleniu na użytkowanie budynku i potwierdzeniu powyższej okoliczności przez rzeczoznawcę dyspozycje wypłaty środków nie będą podlegały kontroli pod kątem rzeczowym i finansowym.</w:t>
            </w:r>
          </w:p>
          <w:p w14:paraId="74F3449A" w14:textId="77777777" w:rsidR="00612690" w:rsidRPr="00612690" w:rsidRDefault="00612690" w:rsidP="00612690">
            <w:pPr>
              <w:rPr>
                <w:rFonts w:ascii="Arial" w:hAnsi="Arial" w:cs="Arial"/>
                <w:sz w:val="18"/>
                <w:szCs w:val="18"/>
              </w:rPr>
            </w:pPr>
            <w:r w:rsidRPr="00612690">
              <w:rPr>
                <w:rFonts w:ascii="Arial" w:hAnsi="Arial" w:cs="Arial"/>
                <w:sz w:val="18"/>
                <w:szCs w:val="18"/>
              </w:rPr>
              <w:t>Wypłata środków następuje poprzez wypłaty z subkont nabywców zgodnie z mechanizmem wskazanym w Regulaminie prowadzenia mieszkaniowego rachunku powierniczego dla dewelopera wydanym przez  mBank S.A. z siedzibą w Warszawie, zgodnie z którym po zatwierdzeniu każdego kolejnego etapu Przedsięwzięcia deweloperskiego z subkonta każdego z nabywców możliwa jest wypłata do kwoty stanowiącej taki procent ceny ustalonej przez Dewelopera i nabywcę w umowie deweloperskiej, jaki odpowiada łącznemu procentowemu udziałowi potwierdzonych etapów w kosztach Przedsięwzięcia deweloperskiego określonemu w Harmonogramie Przedsięwzięcia deweloperskiego i na pozostałych warunkach w tym regulaminie wskazanych.</w:t>
            </w:r>
          </w:p>
          <w:p w14:paraId="30B8600A" w14:textId="339BBC4F" w:rsidR="00612690" w:rsidRDefault="00612690" w:rsidP="00612690">
            <w:pPr>
              <w:rPr>
                <w:rFonts w:ascii="Arial" w:hAnsi="Arial" w:cs="Arial"/>
                <w:sz w:val="18"/>
                <w:szCs w:val="18"/>
              </w:rPr>
            </w:pPr>
            <w:r w:rsidRPr="00612690">
              <w:rPr>
                <w:rFonts w:ascii="Arial" w:hAnsi="Arial" w:cs="Arial"/>
                <w:sz w:val="18"/>
                <w:szCs w:val="18"/>
              </w:rPr>
              <w:t>Środki zgromadzone na Rachunku nie są oprocentowane. Koszt prowadzenia mieszkaniowego rachunku powierniczego ponosi deweloper.</w:t>
            </w:r>
          </w:p>
          <w:p w14:paraId="759BC950" w14:textId="0524E6D2" w:rsidR="002E7359" w:rsidRPr="002835A8" w:rsidRDefault="002E7359" w:rsidP="00A67DFD">
            <w:pPr>
              <w:pStyle w:val="TableParagraph"/>
              <w:jc w:val="both"/>
              <w:rPr>
                <w:color w:val="000000" w:themeColor="text1"/>
                <w:szCs w:val="20"/>
                <w:highlight w:val="lightGray"/>
              </w:rPr>
            </w:pPr>
          </w:p>
        </w:tc>
      </w:tr>
      <w:tr w:rsidR="002E7359" w:rsidRPr="002835A8" w14:paraId="1AC3C0FD" w14:textId="77777777" w:rsidTr="000F440E">
        <w:trPr>
          <w:trHeight w:val="293"/>
        </w:trPr>
        <w:tc>
          <w:tcPr>
            <w:tcW w:w="3099" w:type="dxa"/>
            <w:shd w:val="clear" w:color="auto" w:fill="F3F3F3"/>
          </w:tcPr>
          <w:p w14:paraId="7B54B21A" w14:textId="77777777" w:rsidR="002E7359" w:rsidRPr="002835A8" w:rsidRDefault="002E7359" w:rsidP="002E7359">
            <w:pPr>
              <w:spacing w:beforeLines="60" w:before="144" w:afterLines="60" w:after="144" w:line="240" w:lineRule="auto"/>
              <w:rPr>
                <w:rFonts w:ascii="Times New Roman" w:eastAsia="Times New Roman" w:hAnsi="Times New Roman" w:cs="Times New Roman"/>
                <w:szCs w:val="20"/>
              </w:rPr>
            </w:pPr>
            <w:r w:rsidRPr="002835A8">
              <w:rPr>
                <w:rFonts w:ascii="Times New Roman" w:eastAsia="Times New Roman" w:hAnsi="Times New Roman" w:cs="Times New Roman"/>
                <w:szCs w:val="20"/>
              </w:rPr>
              <w:lastRenderedPageBreak/>
              <w:t>Nazwa instytucji zapewniającej bezpieczeństwo środków nabywcy</w:t>
            </w:r>
          </w:p>
        </w:tc>
        <w:tc>
          <w:tcPr>
            <w:tcW w:w="6683" w:type="dxa"/>
            <w:gridSpan w:val="2"/>
            <w:shd w:val="clear" w:color="auto" w:fill="auto"/>
          </w:tcPr>
          <w:p w14:paraId="7B417F76" w14:textId="62901AF0" w:rsidR="002E7359" w:rsidRPr="002835A8" w:rsidRDefault="00A67DFD" w:rsidP="002E7359">
            <w:pPr>
              <w:spacing w:beforeLines="60" w:before="144" w:afterLines="60" w:after="144" w:line="240" w:lineRule="auto"/>
              <w:jc w:val="both"/>
              <w:rPr>
                <w:rFonts w:ascii="Times New Roman" w:eastAsia="Times New Roman" w:hAnsi="Times New Roman" w:cs="Times New Roman"/>
                <w:szCs w:val="20"/>
              </w:rPr>
            </w:pPr>
            <w:r>
              <w:rPr>
                <w:rFonts w:ascii="Times New Roman" w:eastAsia="Times New Roman" w:hAnsi="Times New Roman" w:cs="Times New Roman"/>
                <w:szCs w:val="20"/>
              </w:rPr>
              <w:t>mBank S.A</w:t>
            </w:r>
          </w:p>
        </w:tc>
      </w:tr>
      <w:tr w:rsidR="002E7359" w:rsidRPr="002835A8" w14:paraId="5343619C" w14:textId="77777777" w:rsidTr="000F440E">
        <w:trPr>
          <w:trHeight w:val="488"/>
        </w:trPr>
        <w:tc>
          <w:tcPr>
            <w:tcW w:w="3099" w:type="dxa"/>
            <w:shd w:val="clear" w:color="auto" w:fill="F3F3F3"/>
          </w:tcPr>
          <w:p w14:paraId="62CF6BC5"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Harmonogram przedsięwzięcia deweloperskiego lub zadania inwestycyjnego</w:t>
            </w:r>
          </w:p>
        </w:tc>
        <w:tc>
          <w:tcPr>
            <w:tcW w:w="6683" w:type="dxa"/>
            <w:gridSpan w:val="2"/>
            <w:shd w:val="clear" w:color="auto" w:fill="auto"/>
          </w:tcPr>
          <w:tbl>
            <w:tblPr>
              <w:tblStyle w:val="Tabela-Siatka"/>
              <w:tblW w:w="0" w:type="auto"/>
              <w:tblLayout w:type="fixed"/>
              <w:tblLook w:val="04A0" w:firstRow="1" w:lastRow="0" w:firstColumn="1" w:lastColumn="0" w:noHBand="0" w:noVBand="1"/>
            </w:tblPr>
            <w:tblGrid>
              <w:gridCol w:w="976"/>
              <w:gridCol w:w="2605"/>
              <w:gridCol w:w="1413"/>
              <w:gridCol w:w="1299"/>
            </w:tblGrid>
            <w:tr w:rsidR="00FD2D4F" w:rsidRPr="006F0D59" w14:paraId="41E89CD9" w14:textId="77777777" w:rsidTr="009006F5">
              <w:tc>
                <w:tcPr>
                  <w:tcW w:w="976" w:type="dxa"/>
                </w:tcPr>
                <w:p w14:paraId="1AD061F6" w14:textId="77777777" w:rsidR="00FD2D4F" w:rsidRPr="006F0D59" w:rsidRDefault="00FD2D4F" w:rsidP="00FD2D4F">
                  <w:pPr>
                    <w:rPr>
                      <w:b/>
                      <w:bCs/>
                    </w:rPr>
                  </w:pPr>
                  <w:r w:rsidRPr="006F0D59">
                    <w:rPr>
                      <w:b/>
                      <w:bCs/>
                    </w:rPr>
                    <w:t>liczba etapów</w:t>
                  </w:r>
                </w:p>
              </w:tc>
              <w:tc>
                <w:tcPr>
                  <w:tcW w:w="2605" w:type="dxa"/>
                </w:tcPr>
                <w:p w14:paraId="474AD928" w14:textId="77777777" w:rsidR="00FD2D4F" w:rsidRPr="006F0D59" w:rsidRDefault="00FD2D4F" w:rsidP="00FD2D4F">
                  <w:pPr>
                    <w:rPr>
                      <w:b/>
                      <w:bCs/>
                    </w:rPr>
                  </w:pPr>
                  <w:r w:rsidRPr="006F0D59">
                    <w:rPr>
                      <w:b/>
                      <w:bCs/>
                    </w:rPr>
                    <w:t>Zakres etapu</w:t>
                  </w:r>
                </w:p>
              </w:tc>
              <w:tc>
                <w:tcPr>
                  <w:tcW w:w="1413" w:type="dxa"/>
                </w:tcPr>
                <w:p w14:paraId="1D79B59D" w14:textId="77777777" w:rsidR="00FD2D4F" w:rsidRPr="006F0D59" w:rsidRDefault="00FD2D4F" w:rsidP="00FD2D4F">
                  <w:pPr>
                    <w:rPr>
                      <w:b/>
                      <w:bCs/>
                    </w:rPr>
                  </w:pPr>
                  <w:r w:rsidRPr="006F0D59">
                    <w:rPr>
                      <w:b/>
                      <w:bCs/>
                    </w:rPr>
                    <w:t>Procentowy podział kosztów etapów w całkowitych kosztach</w:t>
                  </w:r>
                </w:p>
                <w:p w14:paraId="613918F5" w14:textId="77777777" w:rsidR="00FD2D4F" w:rsidRPr="006F0D59" w:rsidRDefault="00FD2D4F" w:rsidP="00FD2D4F">
                  <w:pPr>
                    <w:rPr>
                      <w:b/>
                      <w:bCs/>
                    </w:rPr>
                  </w:pPr>
                  <w:r w:rsidRPr="006F0D59">
                    <w:rPr>
                      <w:b/>
                      <w:bCs/>
                    </w:rPr>
                    <w:t>(w %)</w:t>
                  </w:r>
                </w:p>
              </w:tc>
              <w:tc>
                <w:tcPr>
                  <w:tcW w:w="1299" w:type="dxa"/>
                </w:tcPr>
                <w:p w14:paraId="667F4F6F" w14:textId="77777777" w:rsidR="00FD2D4F" w:rsidRPr="006F0D59" w:rsidRDefault="00FD2D4F" w:rsidP="00FD2D4F">
                  <w:pPr>
                    <w:rPr>
                      <w:b/>
                      <w:bCs/>
                    </w:rPr>
                  </w:pPr>
                  <w:r w:rsidRPr="006F0D59">
                    <w:rPr>
                      <w:b/>
                      <w:bCs/>
                    </w:rPr>
                    <w:t>Termin</w:t>
                  </w:r>
                </w:p>
                <w:p w14:paraId="3D174CC3" w14:textId="77777777" w:rsidR="00FD2D4F" w:rsidRPr="006F0D59" w:rsidRDefault="00FD2D4F" w:rsidP="00FD2D4F">
                  <w:pPr>
                    <w:rPr>
                      <w:b/>
                      <w:bCs/>
                    </w:rPr>
                  </w:pPr>
                  <w:r w:rsidRPr="006F0D59">
                    <w:rPr>
                      <w:b/>
                      <w:bCs/>
                    </w:rPr>
                    <w:t>wykonania etapu</w:t>
                  </w:r>
                </w:p>
              </w:tc>
            </w:tr>
            <w:tr w:rsidR="00FD2D4F" w14:paraId="2497B25A" w14:textId="77777777" w:rsidTr="009006F5">
              <w:tc>
                <w:tcPr>
                  <w:tcW w:w="976" w:type="dxa"/>
                </w:tcPr>
                <w:p w14:paraId="13D5F9AA" w14:textId="77777777" w:rsidR="00FD2D4F" w:rsidRDefault="00FD2D4F" w:rsidP="00FD2D4F">
                  <w:r>
                    <w:t>1</w:t>
                  </w:r>
                </w:p>
              </w:tc>
              <w:tc>
                <w:tcPr>
                  <w:tcW w:w="2605" w:type="dxa"/>
                </w:tcPr>
                <w:p w14:paraId="12D7B784" w14:textId="77777777" w:rsidR="00FD2D4F" w:rsidRDefault="00FD2D4F" w:rsidP="00FD2D4F">
                  <w:r w:rsidRPr="002D2B2E">
                    <w:t>Stan zerowy (zakup działki i projekt)</w:t>
                  </w:r>
                </w:p>
                <w:p w14:paraId="78A804BD" w14:textId="77777777" w:rsidR="00FD2D4F" w:rsidRDefault="00FD2D4F" w:rsidP="00FD2D4F">
                  <w:r w:rsidRPr="002D2B2E">
                    <w:lastRenderedPageBreak/>
                    <w:t>Roboty rozbiórkowe, prace przygotowawcze, roboty ziemne</w:t>
                  </w:r>
                </w:p>
              </w:tc>
              <w:tc>
                <w:tcPr>
                  <w:tcW w:w="1413" w:type="dxa"/>
                </w:tcPr>
                <w:p w14:paraId="60CAB2EE" w14:textId="77777777" w:rsidR="00FD2D4F" w:rsidRDefault="00FD2D4F" w:rsidP="00FD2D4F">
                  <w:r>
                    <w:lastRenderedPageBreak/>
                    <w:t>15%</w:t>
                  </w:r>
                </w:p>
              </w:tc>
              <w:tc>
                <w:tcPr>
                  <w:tcW w:w="1299" w:type="dxa"/>
                </w:tcPr>
                <w:p w14:paraId="5B3F406E" w14:textId="7A3C42B7" w:rsidR="00FD2D4F" w:rsidRDefault="00FD2D4F" w:rsidP="00FD2D4F">
                  <w:r w:rsidRPr="002D2B2E">
                    <w:t>3</w:t>
                  </w:r>
                  <w:r w:rsidR="00822EA1">
                    <w:t>1</w:t>
                  </w:r>
                  <w:r w:rsidRPr="002D2B2E">
                    <w:t>.</w:t>
                  </w:r>
                  <w:r>
                    <w:t>0</w:t>
                  </w:r>
                  <w:r w:rsidR="00822EA1">
                    <w:t>3</w:t>
                  </w:r>
                  <w:r>
                    <w:t>.</w:t>
                  </w:r>
                  <w:r w:rsidRPr="002D2B2E">
                    <w:t>202</w:t>
                  </w:r>
                  <w:r w:rsidR="00822EA1">
                    <w:t>4</w:t>
                  </w:r>
                </w:p>
              </w:tc>
            </w:tr>
            <w:tr w:rsidR="00FD2D4F" w14:paraId="45BA341D" w14:textId="77777777" w:rsidTr="009006F5">
              <w:tc>
                <w:tcPr>
                  <w:tcW w:w="976" w:type="dxa"/>
                </w:tcPr>
                <w:p w14:paraId="6AA1D9DE" w14:textId="77777777" w:rsidR="00FD2D4F" w:rsidRDefault="00FD2D4F" w:rsidP="00FD2D4F">
                  <w:r>
                    <w:t>2</w:t>
                  </w:r>
                </w:p>
              </w:tc>
              <w:tc>
                <w:tcPr>
                  <w:tcW w:w="2605" w:type="dxa"/>
                </w:tcPr>
                <w:p w14:paraId="5E301C2C" w14:textId="77777777" w:rsidR="00FD2D4F" w:rsidRPr="002D2B2E" w:rsidRDefault="00FD2D4F" w:rsidP="00FD2D4F">
                  <w:r>
                    <w:t>P</w:t>
                  </w:r>
                  <w:r w:rsidRPr="002D2B2E">
                    <w:t>alisada, roboty fundamentowe, Podłoża pod posadzki piwnic i garażu</w:t>
                  </w:r>
                </w:p>
                <w:p w14:paraId="76B5ADDB" w14:textId="77777777" w:rsidR="00FD2D4F" w:rsidRDefault="00FD2D4F" w:rsidP="00FD2D4F">
                  <w:r w:rsidRPr="002D2B2E">
                    <w:t>Słupy , ściany , podciągi piwnic i garażu - 50%</w:t>
                  </w:r>
                </w:p>
              </w:tc>
              <w:tc>
                <w:tcPr>
                  <w:tcW w:w="1413" w:type="dxa"/>
                </w:tcPr>
                <w:p w14:paraId="32DB9DA6" w14:textId="41DA91C9" w:rsidR="00FD2D4F" w:rsidRDefault="00FD2D4F" w:rsidP="00FD2D4F">
                  <w:r>
                    <w:t>2</w:t>
                  </w:r>
                  <w:r w:rsidR="00822EA1">
                    <w:t>1</w:t>
                  </w:r>
                  <w:r>
                    <w:t>%</w:t>
                  </w:r>
                </w:p>
              </w:tc>
              <w:tc>
                <w:tcPr>
                  <w:tcW w:w="1299" w:type="dxa"/>
                </w:tcPr>
                <w:p w14:paraId="2E3BC325" w14:textId="77777777" w:rsidR="00FD2D4F" w:rsidRDefault="00FD2D4F" w:rsidP="00FD2D4F">
                  <w:r w:rsidRPr="002D2B2E">
                    <w:t>3</w:t>
                  </w:r>
                  <w:r>
                    <w:t>1</w:t>
                  </w:r>
                  <w:r w:rsidRPr="002D2B2E">
                    <w:t>.</w:t>
                  </w:r>
                  <w:r>
                    <w:t>12</w:t>
                  </w:r>
                  <w:r w:rsidRPr="002D2B2E">
                    <w:t>.2024</w:t>
                  </w:r>
                </w:p>
              </w:tc>
            </w:tr>
            <w:tr w:rsidR="00FD2D4F" w14:paraId="547B2B78" w14:textId="77777777" w:rsidTr="009006F5">
              <w:tc>
                <w:tcPr>
                  <w:tcW w:w="976" w:type="dxa"/>
                </w:tcPr>
                <w:p w14:paraId="136E15ED" w14:textId="77777777" w:rsidR="00FD2D4F" w:rsidRDefault="00FD2D4F" w:rsidP="00FD2D4F">
                  <w:r>
                    <w:t>3</w:t>
                  </w:r>
                </w:p>
              </w:tc>
              <w:tc>
                <w:tcPr>
                  <w:tcW w:w="2605" w:type="dxa"/>
                </w:tcPr>
                <w:p w14:paraId="014BF354" w14:textId="77777777" w:rsidR="00FD2D4F" w:rsidRPr="002D2B2E" w:rsidRDefault="00FD2D4F" w:rsidP="00FD2D4F">
                  <w:r w:rsidRPr="002D2B2E">
                    <w:t>Słupy , ściany , podciągi piwnic i garażu - 50%</w:t>
                  </w:r>
                </w:p>
                <w:p w14:paraId="59C282E7" w14:textId="3F28A998" w:rsidR="00FD2D4F" w:rsidRPr="002D2B2E" w:rsidRDefault="00FD2D4F" w:rsidP="00FD2D4F">
                  <w:r w:rsidRPr="002D2B2E">
                    <w:t>Stropy , wieńce , schody piwnic, Ściany parteru , elementy konstrukcyjne, Strop nad parterem </w:t>
                  </w:r>
                  <w:r w:rsidR="00973DA3">
                    <w:t>100%</w:t>
                  </w:r>
                </w:p>
                <w:p w14:paraId="1624CA43" w14:textId="5989394E" w:rsidR="00FD2D4F" w:rsidRDefault="00FD2D4F" w:rsidP="00FD2D4F">
                  <w:r w:rsidRPr="002D2B2E">
                    <w:t xml:space="preserve">Ściany i elementy konstrukcyjne 1 piętro </w:t>
                  </w:r>
                  <w:r w:rsidR="00973DA3">
                    <w:t>100</w:t>
                  </w:r>
                  <w:r w:rsidRPr="002D2B2E">
                    <w:t>%</w:t>
                  </w:r>
                  <w:r w:rsidRPr="002D2B2E">
                    <w:br/>
                    <w:t>Strop nad 1 piętrem, Ściany i elementy konstrukcyjne 2 piętro</w:t>
                  </w:r>
                </w:p>
                <w:p w14:paraId="1C703253" w14:textId="01A44A27" w:rsidR="00FD2D4F" w:rsidRDefault="00FD2D4F" w:rsidP="00FD2D4F">
                  <w:r w:rsidRPr="002D2B2E">
                    <w:t xml:space="preserve">Strop nad 2 piętrem </w:t>
                  </w:r>
                  <w:r w:rsidR="00973DA3">
                    <w:t>10</w:t>
                  </w:r>
                  <w:r w:rsidRPr="002D2B2E">
                    <w:t>0%</w:t>
                  </w:r>
                  <w:r w:rsidRPr="002D2B2E">
                    <w:br/>
                    <w:t xml:space="preserve">Ściany i elementy konstrukcyjne 3 piętro </w:t>
                  </w:r>
                  <w:r w:rsidR="00973DA3">
                    <w:t>10</w:t>
                  </w:r>
                  <w:r w:rsidRPr="002D2B2E">
                    <w:t>0%</w:t>
                  </w:r>
                  <w:r w:rsidR="00973DA3">
                    <w:t>, strop nad 3 piętrem,</w:t>
                  </w:r>
                </w:p>
                <w:p w14:paraId="174766A8" w14:textId="24D7FFF9" w:rsidR="00FD2D4F" w:rsidRDefault="00FD2D4F" w:rsidP="00FD2D4F">
                  <w:r>
                    <w:t>Ściany działowe 50%</w:t>
                  </w:r>
                  <w:r w:rsidRPr="002D2B2E">
                    <w:br/>
                    <w:t>Stolarka okienna 33%</w:t>
                  </w:r>
                  <w:r w:rsidRPr="002D2B2E">
                    <w:br/>
                    <w:t>Instalacja elektryczna 33%</w:t>
                  </w:r>
                  <w:r w:rsidRPr="002D2B2E">
                    <w:br/>
                    <w:t>Instalacja c.o.  33%</w:t>
                  </w:r>
                  <w:r w:rsidRPr="002D2B2E">
                    <w:br/>
                    <w:t>Instalacja elektryczna garażu, Wentylacja</w:t>
                  </w:r>
                  <w:r w:rsidRPr="002D2B2E">
                    <w:br/>
                    <w:t xml:space="preserve">Przebudowa instalacji ciepłowniczej znajdującej się na działce </w:t>
                  </w:r>
                  <w:r w:rsidR="00973DA3">
                    <w:t>25</w:t>
                  </w:r>
                  <w:r w:rsidRPr="002D2B2E">
                    <w:t>%</w:t>
                  </w:r>
                  <w:r w:rsidRPr="002D2B2E">
                    <w:br/>
                  </w:r>
                </w:p>
              </w:tc>
              <w:tc>
                <w:tcPr>
                  <w:tcW w:w="1413" w:type="dxa"/>
                </w:tcPr>
                <w:p w14:paraId="2939FFF8" w14:textId="77777777" w:rsidR="00FD2D4F" w:rsidRDefault="00FD2D4F" w:rsidP="00FD2D4F">
                  <w:r>
                    <w:t>22%</w:t>
                  </w:r>
                </w:p>
              </w:tc>
              <w:tc>
                <w:tcPr>
                  <w:tcW w:w="1299" w:type="dxa"/>
                </w:tcPr>
                <w:p w14:paraId="311D84C4" w14:textId="77777777" w:rsidR="00FD2D4F" w:rsidRDefault="00FD2D4F" w:rsidP="00FD2D4F">
                  <w:r w:rsidRPr="002D2B2E">
                    <w:t>3</w:t>
                  </w:r>
                  <w:r>
                    <w:t>0</w:t>
                  </w:r>
                  <w:r w:rsidRPr="002D2B2E">
                    <w:t>.0</w:t>
                  </w:r>
                  <w:r>
                    <w:t>6</w:t>
                  </w:r>
                  <w:r w:rsidRPr="002D2B2E">
                    <w:t>.2025</w:t>
                  </w:r>
                </w:p>
              </w:tc>
            </w:tr>
            <w:tr w:rsidR="00FD2D4F" w14:paraId="2DB0B738" w14:textId="77777777" w:rsidTr="009006F5">
              <w:tc>
                <w:tcPr>
                  <w:tcW w:w="976" w:type="dxa"/>
                </w:tcPr>
                <w:p w14:paraId="143F7363" w14:textId="77777777" w:rsidR="00FD2D4F" w:rsidRDefault="00FD2D4F" w:rsidP="00FD2D4F">
                  <w:r>
                    <w:t>4</w:t>
                  </w:r>
                </w:p>
              </w:tc>
              <w:tc>
                <w:tcPr>
                  <w:tcW w:w="2605" w:type="dxa"/>
                </w:tcPr>
                <w:p w14:paraId="008F3F28" w14:textId="77777777" w:rsidR="00FD2D4F" w:rsidRDefault="00FD2D4F" w:rsidP="00FD2D4F">
                  <w:r>
                    <w:t>Ściany działowe 50%</w:t>
                  </w:r>
                </w:p>
                <w:p w14:paraId="12769B14" w14:textId="77777777" w:rsidR="00FD2D4F" w:rsidRDefault="00FD2D4F" w:rsidP="00FD2D4F">
                  <w:r>
                    <w:t>Tynki i okładziny 50%</w:t>
                  </w:r>
                  <w:r w:rsidRPr="002D2B2E">
                    <w:br/>
                    <w:t>Stolarka okienna 33%</w:t>
                  </w:r>
                  <w:r w:rsidRPr="002D2B2E">
                    <w:br/>
                    <w:t>Instalacja elektryczna 33%</w:t>
                  </w:r>
                  <w:r w:rsidRPr="002D2B2E">
                    <w:br/>
                    <w:t>Instalacja c.o.  33%</w:t>
                  </w:r>
                  <w:r w:rsidRPr="002D2B2E">
                    <w:br/>
                    <w:t>Przebudowa instalacji ciepłowniczej znajdującej się na działce 25%</w:t>
                  </w:r>
                </w:p>
                <w:p w14:paraId="6B2814EC" w14:textId="77777777" w:rsidR="00FD2D4F" w:rsidRPr="002D2B2E" w:rsidRDefault="00FD2D4F" w:rsidP="00FD2D4F">
                  <w:r>
                    <w:t>Posadzki 50%</w:t>
                  </w:r>
                </w:p>
                <w:p w14:paraId="7BB79216" w14:textId="77777777" w:rsidR="00FD2D4F" w:rsidRDefault="00FD2D4F" w:rsidP="00FD2D4F"/>
              </w:tc>
              <w:tc>
                <w:tcPr>
                  <w:tcW w:w="1413" w:type="dxa"/>
                </w:tcPr>
                <w:p w14:paraId="4C6C5140" w14:textId="77777777" w:rsidR="00FD2D4F" w:rsidRDefault="00FD2D4F" w:rsidP="00FD2D4F">
                  <w:r>
                    <w:t>13%</w:t>
                  </w:r>
                </w:p>
              </w:tc>
              <w:tc>
                <w:tcPr>
                  <w:tcW w:w="1299" w:type="dxa"/>
                </w:tcPr>
                <w:p w14:paraId="7275D672" w14:textId="77777777" w:rsidR="00FD2D4F" w:rsidRDefault="00FD2D4F" w:rsidP="00FD2D4F">
                  <w:r w:rsidRPr="002D2B2E">
                    <w:t>30.0</w:t>
                  </w:r>
                  <w:r>
                    <w:t>9</w:t>
                  </w:r>
                  <w:r w:rsidRPr="002D2B2E">
                    <w:t>.2025</w:t>
                  </w:r>
                </w:p>
              </w:tc>
            </w:tr>
            <w:tr w:rsidR="00FD2D4F" w14:paraId="249CBE03" w14:textId="77777777" w:rsidTr="009006F5">
              <w:tc>
                <w:tcPr>
                  <w:tcW w:w="976" w:type="dxa"/>
                </w:tcPr>
                <w:p w14:paraId="6F71B715" w14:textId="77777777" w:rsidR="00FD2D4F" w:rsidRDefault="00FD2D4F" w:rsidP="00FD2D4F">
                  <w:r>
                    <w:lastRenderedPageBreak/>
                    <w:t>5</w:t>
                  </w:r>
                </w:p>
              </w:tc>
              <w:tc>
                <w:tcPr>
                  <w:tcW w:w="2605" w:type="dxa"/>
                </w:tcPr>
                <w:p w14:paraId="513410FD" w14:textId="371D2AF7" w:rsidR="00FD2D4F" w:rsidRPr="002D2B2E" w:rsidRDefault="00973DA3" w:rsidP="00FD2D4F">
                  <w:r>
                    <w:t xml:space="preserve">Stolarka </w:t>
                  </w:r>
                  <w:r w:rsidR="00FD2D4F" w:rsidRPr="002D2B2E">
                    <w:t>okienna 3</w:t>
                  </w:r>
                  <w:r>
                    <w:t>4</w:t>
                  </w:r>
                  <w:r w:rsidR="00FD2D4F" w:rsidRPr="002D2B2E">
                    <w:t>%</w:t>
                  </w:r>
                  <w:r w:rsidR="00FD2D4F" w:rsidRPr="002D2B2E">
                    <w:br/>
                    <w:t>Instalacja elektryczna 3</w:t>
                  </w:r>
                  <w:r>
                    <w:t>4</w:t>
                  </w:r>
                  <w:r w:rsidR="00FD2D4F" w:rsidRPr="002D2B2E">
                    <w:t>%</w:t>
                  </w:r>
                  <w:r w:rsidR="00FD2D4F" w:rsidRPr="002D2B2E">
                    <w:br/>
                    <w:t>Instalacja c.o.  3</w:t>
                  </w:r>
                  <w:r>
                    <w:t>4</w:t>
                  </w:r>
                  <w:r w:rsidR="00FD2D4F" w:rsidRPr="002D2B2E">
                    <w:t>%</w:t>
                  </w:r>
                </w:p>
                <w:p w14:paraId="557C8BA8" w14:textId="77777777" w:rsidR="00FD2D4F" w:rsidRDefault="00FD2D4F" w:rsidP="00FD2D4F">
                  <w:r>
                    <w:t>Tynki i okładziny 50%</w:t>
                  </w:r>
                </w:p>
                <w:p w14:paraId="26068C64" w14:textId="77777777" w:rsidR="00FD2D4F" w:rsidRDefault="00FD2D4F" w:rsidP="00FD2D4F">
                  <w:r>
                    <w:t>Posadzki 50%</w:t>
                  </w:r>
                </w:p>
                <w:p w14:paraId="6444A26E" w14:textId="77777777" w:rsidR="00FD2D4F" w:rsidRDefault="00FD2D4F" w:rsidP="00FD2D4F">
                  <w:r w:rsidRPr="002D2B2E">
                    <w:t>Stolarka garażu</w:t>
                  </w:r>
                </w:p>
                <w:p w14:paraId="38184874" w14:textId="77777777" w:rsidR="00FD2D4F" w:rsidRDefault="00FD2D4F" w:rsidP="00FD2D4F">
                  <w:r w:rsidRPr="002D2B2E">
                    <w:t>Ślusarka - balustrady garażu</w:t>
                  </w:r>
                </w:p>
                <w:p w14:paraId="05216ACC" w14:textId="375A8263" w:rsidR="00973DA3" w:rsidRPr="002D2B2E" w:rsidRDefault="00973DA3" w:rsidP="00FD2D4F">
                  <w:r>
                    <w:t>Przebudowa instalacji ciepłowniczej znajdującej się na działce 50%</w:t>
                  </w:r>
                </w:p>
                <w:p w14:paraId="1F8D83DD" w14:textId="77777777" w:rsidR="00FD2D4F" w:rsidRDefault="00FD2D4F" w:rsidP="00973DA3"/>
              </w:tc>
              <w:tc>
                <w:tcPr>
                  <w:tcW w:w="1413" w:type="dxa"/>
                </w:tcPr>
                <w:p w14:paraId="13086551" w14:textId="34CFE6EF" w:rsidR="00FD2D4F" w:rsidRDefault="00822EA1" w:rsidP="00FD2D4F">
                  <w:r>
                    <w:t>14</w:t>
                  </w:r>
                  <w:r w:rsidR="00FD2D4F">
                    <w:t>%</w:t>
                  </w:r>
                </w:p>
              </w:tc>
              <w:tc>
                <w:tcPr>
                  <w:tcW w:w="1299" w:type="dxa"/>
                </w:tcPr>
                <w:p w14:paraId="44239876" w14:textId="77777777" w:rsidR="00FD2D4F" w:rsidRDefault="00FD2D4F" w:rsidP="00FD2D4F">
                  <w:r w:rsidRPr="002D2B2E">
                    <w:t>3</w:t>
                  </w:r>
                  <w:r>
                    <w:t>1</w:t>
                  </w:r>
                  <w:r w:rsidRPr="002D2B2E">
                    <w:t>.</w:t>
                  </w:r>
                  <w:r>
                    <w:t>12</w:t>
                  </w:r>
                  <w:r w:rsidRPr="002D2B2E">
                    <w:t>.2025</w:t>
                  </w:r>
                </w:p>
              </w:tc>
            </w:tr>
            <w:tr w:rsidR="00FD2D4F" w:rsidRPr="002E2C17" w14:paraId="2F40B20C" w14:textId="77777777" w:rsidTr="009006F5">
              <w:tc>
                <w:tcPr>
                  <w:tcW w:w="976" w:type="dxa"/>
                </w:tcPr>
                <w:p w14:paraId="2C323615" w14:textId="77777777" w:rsidR="00FD2D4F" w:rsidRPr="002E2C17" w:rsidRDefault="00FD2D4F" w:rsidP="00FD2D4F">
                  <w:r w:rsidRPr="002E2C17">
                    <w:t>6</w:t>
                  </w:r>
                </w:p>
              </w:tc>
              <w:tc>
                <w:tcPr>
                  <w:tcW w:w="2605" w:type="dxa"/>
                </w:tcPr>
                <w:p w14:paraId="2C39AE99" w14:textId="77777777" w:rsidR="00973DA3" w:rsidRDefault="00973DA3" w:rsidP="00973DA3">
                  <w:r w:rsidRPr="00822EA1">
                    <w:t>Elewacja, montaż windy</w:t>
                  </w:r>
                </w:p>
                <w:p w14:paraId="1D5197ED" w14:textId="77777777" w:rsidR="00FD2D4F" w:rsidRPr="002E2C17" w:rsidRDefault="00FD2D4F" w:rsidP="00FD2D4F">
                  <w:r w:rsidRPr="002E2C17">
                    <w:t>Malowanie, stolarka garażu</w:t>
                  </w:r>
                </w:p>
                <w:p w14:paraId="5E3E1FD6" w14:textId="77777777" w:rsidR="00FD2D4F" w:rsidRPr="002E2C17" w:rsidRDefault="00FD2D4F" w:rsidP="00FD2D4F">
                  <w:r w:rsidRPr="002E2C17">
                    <w:t>Sieci  kanalizacji deszczowej, sanitarnej i wodnej</w:t>
                  </w:r>
                </w:p>
                <w:p w14:paraId="10582C30" w14:textId="77777777" w:rsidR="00FD2D4F" w:rsidRPr="002E2C17" w:rsidRDefault="00FD2D4F" w:rsidP="00FD2D4F">
                  <w:r w:rsidRPr="002E2C17">
                    <w:t>Ślusarka stalowa</w:t>
                  </w:r>
                </w:p>
                <w:p w14:paraId="21A3DFF1" w14:textId="77777777" w:rsidR="00FD2D4F" w:rsidRPr="002E2C17" w:rsidRDefault="00FD2D4F" w:rsidP="00FD2D4F">
                  <w:r w:rsidRPr="002E2C17">
                    <w:t>Przyłącze energetyczne</w:t>
                  </w:r>
                </w:p>
                <w:p w14:paraId="34155D89" w14:textId="77777777" w:rsidR="00FD2D4F" w:rsidRPr="002E2C17" w:rsidRDefault="00FD2D4F" w:rsidP="00FD2D4F">
                  <w:r w:rsidRPr="002E2C17">
                    <w:t>Stropodachy izolacje + obróbki blacharskie</w:t>
                  </w:r>
                </w:p>
                <w:p w14:paraId="32B223F1" w14:textId="77777777" w:rsidR="00FD2D4F" w:rsidRPr="002E2C17" w:rsidRDefault="00FD2D4F" w:rsidP="00FD2D4F">
                  <w:r w:rsidRPr="002E2C17">
                    <w:t>Oświetlenie terenu</w:t>
                  </w:r>
                </w:p>
                <w:p w14:paraId="77199FDA" w14:textId="77777777" w:rsidR="00FD2D4F" w:rsidRPr="002E2C17" w:rsidRDefault="00FD2D4F" w:rsidP="00FD2D4F">
                  <w:r w:rsidRPr="002E2C17">
                    <w:t>Izolacja dachu zielonego , warstwy nawierzchniowe</w:t>
                  </w:r>
                </w:p>
                <w:p w14:paraId="2D165D17" w14:textId="77777777" w:rsidR="00FD2D4F" w:rsidRPr="002E2C17" w:rsidRDefault="00FD2D4F" w:rsidP="00FD2D4F">
                  <w:r w:rsidRPr="002E2C17">
                    <w:t>Drogi i infrastruktura</w:t>
                  </w:r>
                </w:p>
                <w:p w14:paraId="4DFE0E9A" w14:textId="77777777" w:rsidR="00FD2D4F" w:rsidRPr="002E2C17" w:rsidRDefault="00FD2D4F" w:rsidP="00FD2D4F">
                  <w:r w:rsidRPr="002E2C17">
                    <w:t>Ogrodzenie, bramy i furtki, śmietniki</w:t>
                  </w:r>
                </w:p>
                <w:p w14:paraId="2682FC38" w14:textId="77777777" w:rsidR="00FD2D4F" w:rsidRPr="002E2C17" w:rsidRDefault="00FD2D4F" w:rsidP="00FD2D4F">
                  <w:r w:rsidRPr="002E2C17">
                    <w:t>Uzyskanie pozwolenia na użytkowanie</w:t>
                  </w:r>
                </w:p>
              </w:tc>
              <w:tc>
                <w:tcPr>
                  <w:tcW w:w="1413" w:type="dxa"/>
                </w:tcPr>
                <w:p w14:paraId="0A12B4C2" w14:textId="08A65747" w:rsidR="00FD2D4F" w:rsidRPr="002E2C17" w:rsidRDefault="00FD2D4F" w:rsidP="00FD2D4F">
                  <w:r w:rsidRPr="002E2C17">
                    <w:t>1</w:t>
                  </w:r>
                  <w:r w:rsidR="00822EA1">
                    <w:t>5</w:t>
                  </w:r>
                  <w:r w:rsidRPr="002E2C17">
                    <w:t>%</w:t>
                  </w:r>
                </w:p>
              </w:tc>
              <w:tc>
                <w:tcPr>
                  <w:tcW w:w="1299" w:type="dxa"/>
                </w:tcPr>
                <w:p w14:paraId="0AAD23BD" w14:textId="2EB385D0" w:rsidR="00FD2D4F" w:rsidRPr="002E2C17" w:rsidRDefault="00FD2D4F" w:rsidP="00FD2D4F">
                  <w:r w:rsidRPr="002E2C17">
                    <w:t>3</w:t>
                  </w:r>
                  <w:r w:rsidR="00822EA1">
                    <w:t>0</w:t>
                  </w:r>
                  <w:r w:rsidRPr="002E2C17">
                    <w:t>.0</w:t>
                  </w:r>
                  <w:r w:rsidR="00822EA1">
                    <w:t>6</w:t>
                  </w:r>
                  <w:r w:rsidRPr="002E2C17">
                    <w:t>.2026</w:t>
                  </w:r>
                </w:p>
              </w:tc>
            </w:tr>
            <w:tr w:rsidR="00FD2D4F" w14:paraId="3CDC1454" w14:textId="77777777" w:rsidTr="009006F5">
              <w:tc>
                <w:tcPr>
                  <w:tcW w:w="976" w:type="dxa"/>
                </w:tcPr>
                <w:p w14:paraId="5FFB4C86" w14:textId="77777777" w:rsidR="00FD2D4F" w:rsidRPr="002E2C17" w:rsidRDefault="00FD2D4F" w:rsidP="00FD2D4F">
                  <w:r w:rsidRPr="002E2C17">
                    <w:t>RAZEM</w:t>
                  </w:r>
                </w:p>
              </w:tc>
              <w:tc>
                <w:tcPr>
                  <w:tcW w:w="2605" w:type="dxa"/>
                </w:tcPr>
                <w:p w14:paraId="46B3AC89" w14:textId="77777777" w:rsidR="00FD2D4F" w:rsidRPr="002E2C17" w:rsidRDefault="00FD2D4F" w:rsidP="00FD2D4F"/>
              </w:tc>
              <w:tc>
                <w:tcPr>
                  <w:tcW w:w="1413" w:type="dxa"/>
                </w:tcPr>
                <w:p w14:paraId="75EEE745" w14:textId="77777777" w:rsidR="00FD2D4F" w:rsidRDefault="00FD2D4F" w:rsidP="00FD2D4F">
                  <w:r w:rsidRPr="002E2C17">
                    <w:t>100%</w:t>
                  </w:r>
                </w:p>
              </w:tc>
              <w:tc>
                <w:tcPr>
                  <w:tcW w:w="1299" w:type="dxa"/>
                </w:tcPr>
                <w:p w14:paraId="692B4AA9" w14:textId="77777777" w:rsidR="00FD2D4F" w:rsidRDefault="00FD2D4F" w:rsidP="00FD2D4F"/>
              </w:tc>
            </w:tr>
          </w:tbl>
          <w:p w14:paraId="4A6657CE" w14:textId="031895D1"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p>
        </w:tc>
      </w:tr>
      <w:tr w:rsidR="002E7359" w:rsidRPr="002835A8" w14:paraId="08E64BB3" w14:textId="77777777" w:rsidTr="000F440E">
        <w:trPr>
          <w:trHeight w:val="292"/>
        </w:trPr>
        <w:tc>
          <w:tcPr>
            <w:tcW w:w="3099" w:type="dxa"/>
            <w:shd w:val="clear" w:color="auto" w:fill="F3F3F3"/>
          </w:tcPr>
          <w:p w14:paraId="5B048D77" w14:textId="77777777" w:rsidR="002E7359" w:rsidRPr="002835A8" w:rsidRDefault="002E7359" w:rsidP="002E7359">
            <w:pPr>
              <w:spacing w:beforeLines="60" w:before="144" w:afterLines="60" w:after="144" w:line="240" w:lineRule="auto"/>
              <w:rPr>
                <w:rFonts w:ascii="Times New Roman" w:eastAsia="Times New Roman" w:hAnsi="Times New Roman" w:cs="Times New Roman"/>
                <w:szCs w:val="20"/>
              </w:rPr>
            </w:pPr>
            <w:r w:rsidRPr="002835A8">
              <w:rPr>
                <w:rFonts w:ascii="Times New Roman" w:eastAsia="Times New Roman" w:hAnsi="Times New Roman" w:cs="Times New Roman"/>
                <w:szCs w:val="20"/>
              </w:rPr>
              <w:lastRenderedPageBreak/>
              <w:t>Dopuszczenie waloryzacji ceny oraz określenie zasad waloryzacji</w:t>
            </w:r>
          </w:p>
        </w:tc>
        <w:tc>
          <w:tcPr>
            <w:tcW w:w="6683" w:type="dxa"/>
            <w:gridSpan w:val="2"/>
            <w:shd w:val="clear" w:color="auto" w:fill="auto"/>
          </w:tcPr>
          <w:p w14:paraId="4DC3E6CC" w14:textId="26CD3E73" w:rsidR="002E7359" w:rsidRDefault="003406F2" w:rsidP="002E7359">
            <w:pPr>
              <w:spacing w:beforeLines="60" w:before="144" w:afterLines="60" w:after="144" w:line="240" w:lineRule="auto"/>
              <w:jc w:val="both"/>
              <w:rPr>
                <w:rFonts w:ascii="Times New Roman" w:hAnsi="Times New Roman" w:cs="Times New Roman"/>
                <w:szCs w:val="20"/>
              </w:rPr>
            </w:pPr>
            <w:r w:rsidRPr="00DE78EA">
              <w:rPr>
                <w:rFonts w:ascii="Arial" w:hAnsi="Arial" w:cs="Arial"/>
                <w:sz w:val="18"/>
                <w:szCs w:val="18"/>
              </w:rPr>
              <w:t>W przypadku zmiany powszechnie obowiązujących przepisów prawnych dotyczących stawek podatku VAT w trakcie trwania umowy, cena określona w umowie deweloperskiej może zostać odpowiednio skorygowana najpóźniej do dnia zawarcia umowy ustanowienia odrębnej własności lokalu i przeniesienia prawa własności tego lokalu. W przypadku wystąpienia konieczności dokonania dopłat przez Nabywców przysługiwać im będzie prawo odstąpienia od umowy deweloperskiej w ciągu 14 (czternastu) dni kalendarzowych od otrzymania przez Nabywców zawiadomienia o konieczności dokonania odpowiedniej korekty ceny sprzedaży.</w:t>
            </w:r>
          </w:p>
          <w:p w14:paraId="58B3E85E" w14:textId="6F79ECFC" w:rsidR="003406F2" w:rsidRPr="003406F2" w:rsidRDefault="003406F2" w:rsidP="003406F2">
            <w:pPr>
              <w:tabs>
                <w:tab w:val="left" w:pos="1065"/>
              </w:tabs>
              <w:rPr>
                <w:rFonts w:ascii="Times New Roman" w:hAnsi="Times New Roman" w:cs="Times New Roman"/>
                <w:szCs w:val="20"/>
              </w:rPr>
            </w:pPr>
            <w:r>
              <w:rPr>
                <w:rFonts w:ascii="Times New Roman" w:hAnsi="Times New Roman" w:cs="Times New Roman"/>
                <w:szCs w:val="20"/>
              </w:rPr>
              <w:tab/>
            </w:r>
          </w:p>
        </w:tc>
      </w:tr>
      <w:tr w:rsidR="002E7359" w:rsidRPr="002835A8" w14:paraId="435760DF" w14:textId="77777777" w:rsidTr="000F440E">
        <w:tc>
          <w:tcPr>
            <w:tcW w:w="9782" w:type="dxa"/>
            <w:gridSpan w:val="3"/>
            <w:tcBorders>
              <w:bottom w:val="single" w:sz="4" w:space="0" w:color="auto"/>
            </w:tcBorders>
            <w:shd w:val="clear" w:color="auto" w:fill="E0E0E0"/>
          </w:tcPr>
          <w:p w14:paraId="4B0614C3" w14:textId="1CA780FB" w:rsidR="002E7359" w:rsidRPr="002835A8" w:rsidRDefault="002E7359" w:rsidP="002E7359">
            <w:pPr>
              <w:spacing w:beforeLines="60" w:before="144" w:afterLines="60" w:after="144" w:line="240" w:lineRule="auto"/>
              <w:jc w:val="both"/>
              <w:rPr>
                <w:rFonts w:ascii="Times New Roman" w:eastAsia="Times New Roman" w:hAnsi="Times New Roman" w:cs="Times New Roman"/>
                <w:b/>
                <w:szCs w:val="20"/>
              </w:rPr>
            </w:pPr>
            <w:r w:rsidRPr="002835A8">
              <w:rPr>
                <w:rFonts w:ascii="Times New Roman" w:eastAsia="Times New Roman" w:hAnsi="Times New Roman" w:cs="Times New Roman"/>
                <w:b/>
                <w:szCs w:val="20"/>
              </w:rPr>
              <w:t xml:space="preserve">WARUNKI ODSTĄPIENIA OD UMOWY DEWELOPERSKIEJ LUB UMOWY, O KTÓREJ MOWA W ART. 2 UST. 1 PKT 2, 3 LUB 5 USTAWY Z </w:t>
            </w:r>
            <w:r w:rsidRPr="005D7087">
              <w:rPr>
                <w:rFonts w:ascii="Times New Roman" w:eastAsia="Times New Roman" w:hAnsi="Times New Roman" w:cs="Times New Roman"/>
                <w:b/>
                <w:szCs w:val="20"/>
              </w:rPr>
              <w:t xml:space="preserve">DNIA </w:t>
            </w:r>
            <w:r w:rsidRPr="005D7087">
              <w:rPr>
                <w:rFonts w:ascii="Times New Roman" w:eastAsia="Times New Roman" w:hAnsi="Times New Roman" w:cs="Times New Roman"/>
                <w:b/>
                <w:color w:val="000000" w:themeColor="text1"/>
                <w:szCs w:val="20"/>
              </w:rPr>
              <w:t xml:space="preserve">20 MAJA 2021 R. </w:t>
            </w:r>
            <w:r w:rsidRPr="005D7087">
              <w:rPr>
                <w:rFonts w:ascii="Times New Roman" w:eastAsia="Times New Roman" w:hAnsi="Times New Roman" w:cs="Times New Roman"/>
                <w:b/>
                <w:szCs w:val="20"/>
              </w:rPr>
              <w:t>O OCHRONIE</w:t>
            </w:r>
            <w:r w:rsidRPr="002835A8">
              <w:rPr>
                <w:rFonts w:ascii="Times New Roman" w:eastAsia="Times New Roman" w:hAnsi="Times New Roman" w:cs="Times New Roman"/>
                <w:b/>
                <w:szCs w:val="20"/>
              </w:rPr>
              <w:t xml:space="preserve"> PRAW NABYWCY LOKALU MIESZKALNEGO LUB DOMU JEDNORODZINNEGO ORAZ O DEWE</w:t>
            </w:r>
            <w:r>
              <w:rPr>
                <w:rFonts w:ascii="Times New Roman" w:eastAsia="Times New Roman" w:hAnsi="Times New Roman" w:cs="Times New Roman"/>
                <w:b/>
                <w:szCs w:val="20"/>
              </w:rPr>
              <w:t>LOPERSKIM FUNDUSZU GWARANCYJNYM</w:t>
            </w:r>
          </w:p>
        </w:tc>
      </w:tr>
      <w:tr w:rsidR="002E7359" w:rsidRPr="002835A8" w14:paraId="3C8E7893" w14:textId="77777777" w:rsidTr="000F440E">
        <w:trPr>
          <w:trHeight w:val="1512"/>
        </w:trPr>
        <w:tc>
          <w:tcPr>
            <w:tcW w:w="3099" w:type="dxa"/>
            <w:tcBorders>
              <w:bottom w:val="single" w:sz="4" w:space="0" w:color="auto"/>
            </w:tcBorders>
            <w:shd w:val="clear" w:color="auto" w:fill="F3F3F3"/>
          </w:tcPr>
          <w:p w14:paraId="0A2C114C" w14:textId="01C2D7B1" w:rsidR="002E7359" w:rsidRPr="002835A8" w:rsidRDefault="002E7359" w:rsidP="002E7359">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lastRenderedPageBreak/>
              <w:t xml:space="preserve">Warunki, na jakich można odstąpić od umowy </w:t>
            </w:r>
            <w:proofErr w:type="spellStart"/>
            <w:r w:rsidRPr="002835A8">
              <w:rPr>
                <w:rFonts w:ascii="Times New Roman" w:eastAsia="Times New Roman" w:hAnsi="Times New Roman" w:cs="Times New Roman"/>
                <w:szCs w:val="20"/>
              </w:rPr>
              <w:t>dewelo</w:t>
            </w:r>
            <w:proofErr w:type="spellEnd"/>
            <w:r w:rsidRPr="002835A8">
              <w:rPr>
                <w:rFonts w:ascii="Times New Roman" w:eastAsia="Times New Roman" w:hAnsi="Times New Roman" w:cs="Times New Roman"/>
                <w:szCs w:val="20"/>
              </w:rPr>
              <w:t>- perskiej lub jednej z umów, o których mowa w art. 2 ust. 1 pkt 2, 3 lub 5 ustawy z dnia 20 maja 2021 r. o ochronie praw nabywcy lokalu mieszkalnego lub domu jednorodzinnego oraz Deweloperskim Funduszu Gwarancyjnym</w:t>
            </w:r>
          </w:p>
        </w:tc>
        <w:tc>
          <w:tcPr>
            <w:tcW w:w="6683" w:type="dxa"/>
            <w:gridSpan w:val="2"/>
          </w:tcPr>
          <w:p w14:paraId="72D40C59" w14:textId="77777777" w:rsidR="000909AD" w:rsidRDefault="000909AD" w:rsidP="000909AD">
            <w:pPr>
              <w:spacing w:after="0" w:line="276" w:lineRule="auto"/>
              <w:jc w:val="both"/>
              <w:rPr>
                <w:rFonts w:cstheme="minorHAnsi"/>
                <w:sz w:val="20"/>
                <w:szCs w:val="20"/>
              </w:rPr>
            </w:pPr>
            <w:r>
              <w:rPr>
                <w:rFonts w:cstheme="minorHAnsi"/>
                <w:sz w:val="20"/>
                <w:szCs w:val="20"/>
              </w:rPr>
              <w:t>1.  Nabywca ma prawo odstąpić od umowy deweloperskiej albo umowy, o której mowa w art. 2 ust. 1 pkt 2, 3 lub 5:</w:t>
            </w:r>
          </w:p>
          <w:p w14:paraId="4BEAB71B"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1)</w:t>
            </w:r>
            <w:r>
              <w:rPr>
                <w:rFonts w:cstheme="minorHAnsi"/>
                <w:sz w:val="20"/>
                <w:szCs w:val="20"/>
              </w:rPr>
              <w:tab/>
              <w:t>jeżeli umowa deweloperska albo umowa, o której mowa w art. 2 ust. 1 pkt 2, 3 lub 5, nie zawiera odpowiednio elementów, o których mowa w art. 35, albo elementów, o których mowa w art. 36 ustawy deweloperskiej;</w:t>
            </w:r>
          </w:p>
          <w:p w14:paraId="067F5B8E"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2)</w:t>
            </w:r>
            <w:r>
              <w:rPr>
                <w:rFonts w:cstheme="minorHAnsi"/>
                <w:sz w:val="20"/>
                <w:szCs w:val="20"/>
              </w:rPr>
              <w:tab/>
              <w:t>jeżeli informacje zawarte w umowie deweloperskiej albo umowie, o której mowa w art. 2 ust. 1 pkt 2, 3 lub 5 ustawy deweloperskiej, nie są zgodne z informacjami zawartymi w prospekcie informacyjnym lub jego załącznikach, z wyjątkiem zmian, o których mowa w art. 35 ust. 2 ustawy deweloperskiej;</w:t>
            </w:r>
          </w:p>
          <w:p w14:paraId="5EE81AC5"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3)</w:t>
            </w:r>
            <w:r>
              <w:rPr>
                <w:rFonts w:cstheme="minorHAnsi"/>
                <w:sz w:val="20"/>
                <w:szCs w:val="20"/>
              </w:rPr>
              <w:tab/>
              <w:t>jeżeli deweloper nie doręczył zgodnie z art. 21 lub art. 22 ustawy deweloperskiej prospektu informacyjnego wraz z załącznikami lub informacji o zmianie danych lub informacji zawartych w prospekcie informacyjnym lub jego załącznikach;</w:t>
            </w:r>
          </w:p>
          <w:p w14:paraId="0957DCA6"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4)</w:t>
            </w:r>
            <w:r>
              <w:rPr>
                <w:rFonts w:cstheme="minorHAnsi"/>
                <w:sz w:val="20"/>
                <w:szCs w:val="20"/>
              </w:rPr>
              <w:tab/>
              <w:t>jeżeli dane lub informacje zawarte w prospekcie informacyjnym lub jego załącznikach, na podstawie których zawarto umowę deweloperską albo umowę, o której mowa w art. 2 ust. 1 pkt 2, 3 lub 5 ustawy deweloperskiej, są niezgodne ze stanem faktycznym lub prawnym w dniu zawarcia umowy;</w:t>
            </w:r>
          </w:p>
          <w:p w14:paraId="0AB8810F"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5)</w:t>
            </w:r>
            <w:r>
              <w:rPr>
                <w:rFonts w:cstheme="minorHAnsi"/>
                <w:sz w:val="20"/>
                <w:szCs w:val="20"/>
              </w:rPr>
              <w:tab/>
              <w:t>jeżeli prospekt informacyjny, na podstawie którego zawarto umowę deweloperską albo umowę, o której mowa w art. 2 ust. 1 pkt 2, 3 lub 5 ustawy deweloperskiej, nie zawiera danych lub informacji określonych we wzorze prospektu informacyjnego;</w:t>
            </w:r>
          </w:p>
          <w:p w14:paraId="633BCB21"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6)</w:t>
            </w:r>
            <w:r>
              <w:rPr>
                <w:rFonts w:cstheme="minorHAnsi"/>
                <w:sz w:val="20"/>
                <w:szCs w:val="20"/>
              </w:rPr>
              <w:tab/>
              <w:t xml:space="preserve">w przypadku </w:t>
            </w:r>
            <w:proofErr w:type="spellStart"/>
            <w:r>
              <w:rPr>
                <w:rFonts w:cstheme="minorHAnsi"/>
                <w:sz w:val="20"/>
                <w:szCs w:val="20"/>
              </w:rPr>
              <w:t>nieprzeniesienia</w:t>
            </w:r>
            <w:proofErr w:type="spellEnd"/>
            <w:r>
              <w:rPr>
                <w:rFonts w:cstheme="minorHAnsi"/>
                <w:sz w:val="20"/>
                <w:szCs w:val="20"/>
              </w:rPr>
              <w:t xml:space="preserve"> na nabywcę praw wynikających z umowy deweloperskiej albo umowy, o której mowa w art. 2 ust. 1 pkt 2, 3 lub 5 ustawy deweloperskiej, w terminie wynikającym z tych umów;</w:t>
            </w:r>
          </w:p>
          <w:p w14:paraId="07EC910D"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7)</w:t>
            </w:r>
            <w:r>
              <w:rPr>
                <w:rFonts w:cstheme="minorHAnsi"/>
                <w:sz w:val="20"/>
                <w:szCs w:val="20"/>
              </w:rPr>
              <w:tab/>
              <w:t>w przypadku gdy deweloper nie zawrze umowy mieszkaniowego rachunku powierniczego z innym bankiem w trybie i terminie, o których mowa w art. 10 ust. 1 ustawy deweloperskiej;</w:t>
            </w:r>
          </w:p>
          <w:p w14:paraId="19854DF5"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8)</w:t>
            </w:r>
            <w:r>
              <w:rPr>
                <w:rFonts w:cstheme="minorHAnsi"/>
                <w:sz w:val="20"/>
                <w:szCs w:val="20"/>
              </w:rPr>
              <w:tab/>
              <w:t>w przypadku gdy deweloper nie posiada zgody wierzyciela hipotecznego lub zobowiązania do jej udzielenia, o których mowa w art. 25 ust. 1 pkt 1 lub 2 ustawy deweloperskiej;</w:t>
            </w:r>
          </w:p>
          <w:p w14:paraId="2A0C6641"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9)</w:t>
            </w:r>
            <w:r>
              <w:rPr>
                <w:rFonts w:cstheme="minorHAnsi"/>
                <w:sz w:val="20"/>
                <w:szCs w:val="20"/>
              </w:rPr>
              <w:tab/>
              <w:t>w przypadku niewykonania przez dewelopera obowiązku, o którym mowa w art. 12 ust. 2 ustawy deweloperskiej, w terminie określonym w tym przepisie;</w:t>
            </w:r>
          </w:p>
          <w:p w14:paraId="38BB9292"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10)</w:t>
            </w:r>
            <w:r>
              <w:rPr>
                <w:rFonts w:cstheme="minorHAnsi"/>
                <w:sz w:val="20"/>
                <w:szCs w:val="20"/>
              </w:rPr>
              <w:tab/>
              <w:t>w przypadku nieusunięcia przez dewelopera wady istotnej lokalu mieszkalnego albo domu jednorodzinnego na zasadach określonych w art. 41 ust. 11 ustawy deweloperskiej;</w:t>
            </w:r>
          </w:p>
          <w:p w14:paraId="0EF2C568"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11)</w:t>
            </w:r>
            <w:r>
              <w:rPr>
                <w:rFonts w:cstheme="minorHAnsi"/>
                <w:sz w:val="20"/>
                <w:szCs w:val="20"/>
              </w:rPr>
              <w:tab/>
              <w:t>w przypadku stwierdzenia przez rzeczoznawcę istnienia wady istotnej, o którym mowa w art. 41 ust. 15 ustawy deweloperskiej;</w:t>
            </w:r>
          </w:p>
          <w:p w14:paraId="128BDC82"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12)</w:t>
            </w:r>
            <w:r>
              <w:rPr>
                <w:rFonts w:cstheme="minorHAnsi"/>
                <w:sz w:val="20"/>
                <w:szCs w:val="20"/>
              </w:rPr>
              <w:tab/>
              <w:t>jeżeli syndyk zażądał wykonania umowy na podstawie art. 98 ustawy z dnia 28 lutego 2003 r. - Prawo upadłościowe.</w:t>
            </w:r>
          </w:p>
          <w:p w14:paraId="1A9723C5"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 xml:space="preserve">2. </w:t>
            </w:r>
            <w:r>
              <w:rPr>
                <w:rFonts w:cstheme="minorHAnsi"/>
                <w:sz w:val="20"/>
                <w:szCs w:val="20"/>
              </w:rPr>
              <w:tab/>
              <w:t>W przypadkach, o których mowa w ust. 1 pkt 1-5, nabywca ma prawo odstąpienia od umowy deweloperskiej albo umowy, o której mowa w art. 2 ust. 1 pkt 2, 3 lub 5 ustawy deweloperskiej, w terminie 30 dni od dnia jej zawarcia.</w:t>
            </w:r>
          </w:p>
          <w:p w14:paraId="33440D6A"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 xml:space="preserve">3. </w:t>
            </w:r>
            <w:r>
              <w:rPr>
                <w:rFonts w:cstheme="minorHAnsi"/>
                <w:sz w:val="20"/>
                <w:szCs w:val="20"/>
              </w:rPr>
              <w:tab/>
              <w:t xml:space="preserve">W przypadku, o którym mowa w ust. 1 pkt 6, przed skorzystaniem z prawa do odstąpienia od umowy nabywca wyznacza deweloperowi 120-dniowy </w:t>
            </w:r>
            <w:r>
              <w:rPr>
                <w:rFonts w:cstheme="minorHAnsi"/>
                <w:sz w:val="20"/>
                <w:szCs w:val="20"/>
              </w:rPr>
              <w:lastRenderedPageBreak/>
              <w:t>termin na przeniesienie praw wynikających z umowy deweloperskiej albo umowy, o której mowa w art. 2 ust. 1 pkt 2, 3 lub 5 ustawy deweloperskiej, a w razie bezskutecznego upływu wyznaczonego terminu jest uprawniony do odstąpienia od tej umowy. Nabywca zachowuje roszczenie z tytułu kary umownej za okres opóźnienia.</w:t>
            </w:r>
          </w:p>
          <w:p w14:paraId="54C374F9"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 xml:space="preserve">4. </w:t>
            </w:r>
            <w:r>
              <w:rPr>
                <w:rFonts w:cstheme="minorHAnsi"/>
                <w:sz w:val="20"/>
                <w:szCs w:val="20"/>
              </w:rPr>
              <w:tab/>
              <w:t>W przypadku, o którym mowa w ust. 1 pkt 7, nabywca ma prawo odstąpienia od umowy deweloperskiej albo umowy, o której mowa w art. 2 ust. 1 pkt 2, 3 lub 5 ustawy deweloperskiej, po dokonaniu przez bank zwrotu środków zgodnie z art. 10 ust. 3 ustawy deweloperskiej.</w:t>
            </w:r>
          </w:p>
          <w:p w14:paraId="696B49A6"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 xml:space="preserve">5. </w:t>
            </w:r>
            <w:r>
              <w:rPr>
                <w:rFonts w:cstheme="minorHAnsi"/>
                <w:sz w:val="20"/>
                <w:szCs w:val="20"/>
              </w:rPr>
              <w:tab/>
              <w:t>W przypadku, o którym mowa w ust. 1 pkt 8, nabywca ma prawo odstąpienia od umowy deweloperskiej albo umowy, o której mowa w art. 2 ust. 1 pkt 2, 3 lub 5 ustawy deweloperskiej, w terminie 60 dni od dnia jej zawarcia.</w:t>
            </w:r>
          </w:p>
          <w:p w14:paraId="53F5534C"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 xml:space="preserve">6. </w:t>
            </w:r>
            <w:r>
              <w:rPr>
                <w:rFonts w:cstheme="minorHAnsi"/>
                <w:sz w:val="20"/>
                <w:szCs w:val="20"/>
              </w:rPr>
              <w:tab/>
              <w:t>W przypadku, o którym mowa w ust. 1 pkt 9, nabywca ma prawo odstąpienia od umowy deweloperskiej albo umowy, o której mowa w art. 2 ust. 1 pkt 2, 3 lub 5 ustawy deweloperskiej, po upływie 60 dni od dnia podania do publicznej wiadomości informacji, o których mowa w art. 12 ust. 1 ustawy deweloperskiej.</w:t>
            </w:r>
          </w:p>
          <w:p w14:paraId="05897D54"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 xml:space="preserve">7. </w:t>
            </w:r>
            <w:r>
              <w:rPr>
                <w:rFonts w:cstheme="minorHAnsi"/>
                <w:sz w:val="20"/>
                <w:szCs w:val="20"/>
              </w:rPr>
              <w:tab/>
              <w:t>Deweloper ma prawo odstąpić od umowy deweloperskiej albo umowy, o której mowa w art. 2 ust. 1 pkt 2, 3 lub 5 ustawy deweloperskiej,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0699B684"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 xml:space="preserve">8. </w:t>
            </w:r>
            <w:r>
              <w:rPr>
                <w:rFonts w:cstheme="minorHAnsi"/>
                <w:sz w:val="20"/>
                <w:szCs w:val="20"/>
              </w:rPr>
              <w:tab/>
              <w:t>Deweloper ma prawo odstąpić od umowy deweloperskiej albo umowy, o której mowa w art. 2 ust. 1 pkt 2, 3 lub 5 ustawy deweloperskiej, w przypadku niestawienia się nabywcy do odbioru lokalu mieszkalnego albo domu jednorodzinnego lub podpisania aktu notarialnego przenoszącego na nabywcę prawa wynikające z umowy deweloperskiej albo umowy, o której mowa w art. 2 ust. 1 pkt 2, 3 lub 5 ustawy deweloperskiej, mimo dwukrotnego doręczenia wezwania w formie pisemnej w odstępie co najmniej 60 dni, chyba że niestawienie się nabywcy jest spowodowane działaniem siły wyższej.</w:t>
            </w:r>
          </w:p>
          <w:p w14:paraId="51FBA5DE"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9.    W przypadku skorzystania przez nabywcę z prawa odstąpienia, o którym mowa w art. 43 ust. 1 ustawy deweloperskiej, umowa uważana jest za niezawartą, a nabywca nie ponosi żadnych kosztów związanych z odstąpieniem od umowy.</w:t>
            </w:r>
          </w:p>
          <w:p w14:paraId="3E170D2A"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10.  Deweloper ma obowiązek niezwłocznie, jednak nie później niż w terminie 30 dni od dnia otrzymania oświadczenia nabywcy o odstąpieniu od umowy, zwrócić nabywcy środki wypłacone deweloperowi przez bank z mieszkaniowego rachunku powierniczego w związku z realizacją umowy deweloperskiej albo umowy, o której mowa w art. 2 ust. 1 pkt 2, 3 lub 5 ustawy deweloperskiej.</w:t>
            </w:r>
          </w:p>
          <w:p w14:paraId="1560E418"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 xml:space="preserve">11. </w:t>
            </w:r>
            <w:r>
              <w:rPr>
                <w:rFonts w:cstheme="minorHAnsi"/>
                <w:sz w:val="20"/>
                <w:szCs w:val="20"/>
              </w:rPr>
              <w:tab/>
              <w:t xml:space="preserve">Oświadczenie woli nabywcy o odstąpieniu od umowy deweloperskiej albo umowy, o której mowa w art. 2 ust. 1 pkt 2, 3 lub 5 ustawy deweloperskiej, jest skuteczne, jeżeli zawiera zgodę na wykreślenie z księgi wieczystej </w:t>
            </w:r>
            <w:r>
              <w:rPr>
                <w:rFonts w:cstheme="minorHAnsi"/>
                <w:sz w:val="20"/>
                <w:szCs w:val="20"/>
              </w:rPr>
              <w:lastRenderedPageBreak/>
              <w:t>odpowiednich roszczeń, o których mowa w art. 38 ust. 2 ustawy deweloperskiej, i jest złożone w formie pisemnej z podpisami notarialnie poświadczonymi.</w:t>
            </w:r>
          </w:p>
          <w:p w14:paraId="411B2C68" w14:textId="77777777" w:rsidR="000909AD" w:rsidRDefault="000909AD" w:rsidP="000909AD">
            <w:pPr>
              <w:spacing w:after="0" w:line="276" w:lineRule="auto"/>
              <w:ind w:left="340" w:hanging="340"/>
              <w:jc w:val="both"/>
              <w:rPr>
                <w:rFonts w:cstheme="minorHAnsi"/>
                <w:sz w:val="20"/>
                <w:szCs w:val="20"/>
              </w:rPr>
            </w:pPr>
            <w:r>
              <w:rPr>
                <w:rFonts w:cstheme="minorHAnsi"/>
                <w:sz w:val="20"/>
                <w:szCs w:val="20"/>
              </w:rPr>
              <w:t>12.  W przypadku odstąpienia od umowy deweloperskiej albo umowy, o której mowa w art. 2 ust. 1 pkt 2, 3 lub 5 ustawy deweloperskiej, przez dewelopera na podstawie art. 43 ust. 7 lub 8 ustawy deweloperskiej, nabywca jest obowiązany wyrazić zgodę na wykreślenie z księgi wieczystej odpowiednich roszczeń, o których mowa w art. 38 ust. 2 ustawy deweloperskiej.</w:t>
            </w:r>
          </w:p>
          <w:p w14:paraId="57A0529F" w14:textId="7FEAC1F0" w:rsidR="002E7359" w:rsidRPr="002835A8" w:rsidRDefault="002E7359" w:rsidP="000909AD">
            <w:pPr>
              <w:widowControl w:val="0"/>
              <w:autoSpaceDE w:val="0"/>
              <w:autoSpaceDN w:val="0"/>
              <w:spacing w:after="0" w:line="240" w:lineRule="auto"/>
              <w:jc w:val="both"/>
              <w:rPr>
                <w:rFonts w:ascii="Times New Roman" w:eastAsia="Times New Roman" w:hAnsi="Times New Roman" w:cs="Times New Roman"/>
                <w:szCs w:val="20"/>
              </w:rPr>
            </w:pPr>
          </w:p>
        </w:tc>
      </w:tr>
      <w:tr w:rsidR="002E7359" w:rsidRPr="002835A8" w14:paraId="6776875D" w14:textId="77777777" w:rsidTr="000F440E">
        <w:trPr>
          <w:trHeight w:val="510"/>
        </w:trPr>
        <w:tc>
          <w:tcPr>
            <w:tcW w:w="9782" w:type="dxa"/>
            <w:gridSpan w:val="3"/>
            <w:tcBorders>
              <w:bottom w:val="single" w:sz="4" w:space="0" w:color="auto"/>
            </w:tcBorders>
            <w:shd w:val="clear" w:color="auto" w:fill="D9D9D9"/>
          </w:tcPr>
          <w:p w14:paraId="40B47EF0" w14:textId="77777777" w:rsidR="002E7359" w:rsidRPr="002835A8" w:rsidRDefault="002E7359" w:rsidP="002E7359">
            <w:pPr>
              <w:spacing w:beforeLines="60" w:before="144" w:afterLines="60" w:after="144" w:line="240" w:lineRule="auto"/>
              <w:jc w:val="both"/>
              <w:rPr>
                <w:rFonts w:ascii="Times New Roman" w:eastAsia="Times New Roman" w:hAnsi="Times New Roman" w:cs="Times New Roman"/>
                <w:b/>
                <w:szCs w:val="20"/>
              </w:rPr>
            </w:pPr>
            <w:r w:rsidRPr="002835A8">
              <w:rPr>
                <w:rFonts w:ascii="Times New Roman" w:eastAsia="Times New Roman" w:hAnsi="Times New Roman" w:cs="Times New Roman"/>
                <w:b/>
                <w:szCs w:val="20"/>
              </w:rPr>
              <w:lastRenderedPageBreak/>
              <w:t xml:space="preserve">INNE INFORMACJE </w:t>
            </w:r>
          </w:p>
        </w:tc>
      </w:tr>
      <w:tr w:rsidR="002E7359" w:rsidRPr="002835A8" w14:paraId="71F9984A" w14:textId="77777777" w:rsidTr="000F440E">
        <w:trPr>
          <w:trHeight w:val="1512"/>
        </w:trPr>
        <w:tc>
          <w:tcPr>
            <w:tcW w:w="9782" w:type="dxa"/>
            <w:gridSpan w:val="3"/>
            <w:tcBorders>
              <w:bottom w:val="nil"/>
            </w:tcBorders>
            <w:shd w:val="clear" w:color="auto" w:fill="F3F3F3"/>
          </w:tcPr>
          <w:p w14:paraId="4933F43E" w14:textId="77777777" w:rsidR="002E7359" w:rsidRPr="006D33A0" w:rsidRDefault="002E7359" w:rsidP="002E7359">
            <w:pPr>
              <w:spacing w:beforeLines="60" w:before="144" w:afterLines="60" w:after="144" w:line="240" w:lineRule="auto"/>
              <w:jc w:val="both"/>
              <w:rPr>
                <w:rFonts w:ascii="Times New Roman" w:eastAsia="Times New Roman" w:hAnsi="Times New Roman" w:cs="Times New Roman"/>
                <w:szCs w:val="20"/>
              </w:rPr>
            </w:pPr>
            <w:r w:rsidRPr="006D33A0">
              <w:rPr>
                <w:rFonts w:ascii="Times New Roman" w:eastAsia="Times New Roman" w:hAnsi="Times New Roman" w:cs="Times New Roman"/>
                <w:szCs w:val="20"/>
              </w:rPr>
              <w:t>I. Informacja o:</w:t>
            </w:r>
          </w:p>
          <w:p w14:paraId="692DD938" w14:textId="20B1F29B" w:rsidR="002E7359" w:rsidRPr="006D33A0" w:rsidRDefault="002E7359" w:rsidP="002E7359">
            <w:pPr>
              <w:spacing w:beforeLines="60" w:before="144" w:afterLines="60" w:after="144" w:line="240" w:lineRule="auto"/>
              <w:ind w:left="313" w:hanging="313"/>
              <w:jc w:val="both"/>
              <w:rPr>
                <w:rFonts w:ascii="Times New Roman" w:eastAsia="Times New Roman" w:hAnsi="Times New Roman" w:cs="Times New Roman"/>
                <w:szCs w:val="20"/>
                <w:lang w:eastAsia="pl-PL"/>
              </w:rPr>
            </w:pPr>
            <w:r w:rsidRPr="006D33A0">
              <w:rPr>
                <w:rFonts w:ascii="Times New Roman" w:eastAsia="Times New Roman" w:hAnsi="Times New Roman" w:cs="Times New Roman"/>
                <w:szCs w:val="20"/>
              </w:rPr>
              <w:t>1)</w:t>
            </w:r>
            <w:r w:rsidRPr="006D33A0">
              <w:rPr>
                <w:rFonts w:ascii="Times New Roman" w:eastAsia="Times New Roman" w:hAnsi="Times New Roman" w:cs="Times New Roman"/>
                <w:szCs w:val="20"/>
              </w:rPr>
              <w:tab/>
              <w:t xml:space="preserve">o zgodzie banku, kasy lub innego wierzyciela hipotecznego na </w:t>
            </w:r>
            <w:proofErr w:type="spellStart"/>
            <w:r w:rsidRPr="006D33A0">
              <w:rPr>
                <w:rFonts w:ascii="Times New Roman" w:eastAsia="Times New Roman" w:hAnsi="Times New Roman" w:cs="Times New Roman"/>
                <w:szCs w:val="20"/>
              </w:rPr>
              <w:t>bezobciążeniowe</w:t>
            </w:r>
            <w:proofErr w:type="spellEnd"/>
            <w:r w:rsidRPr="006D33A0">
              <w:rPr>
                <w:rFonts w:ascii="Times New Roman" w:eastAsia="Times New Roman" w:hAnsi="Times New Roman" w:cs="Times New Roman"/>
                <w:szCs w:val="20"/>
              </w:rPr>
              <w:t xml:space="preserve"> ustanowienie odrębnej własności lokalu mieszkalnego i przeniesienie jego własności na nabywcę po wpłacie pełnej ceny przez nabywcę lub zobowiązaniu do jej udzielenia, jeżeli takie obciążenie istnieje, albo zgodzie banku, kasy lub innego wierzyciela hipotecznego na </w:t>
            </w:r>
            <w:proofErr w:type="spellStart"/>
            <w:r w:rsidRPr="006D33A0">
              <w:rPr>
                <w:rFonts w:ascii="Times New Roman" w:eastAsia="Times New Roman" w:hAnsi="Times New Roman" w:cs="Times New Roman"/>
                <w:szCs w:val="20"/>
              </w:rPr>
              <w:t>bezobciążeniowe</w:t>
            </w:r>
            <w:proofErr w:type="spellEnd"/>
            <w:r w:rsidRPr="006D33A0">
              <w:rPr>
                <w:rFonts w:ascii="Times New Roman" w:eastAsia="Times New Roman" w:hAnsi="Times New Roman" w:cs="Times New Roman"/>
                <w:szCs w:val="20"/>
              </w:rPr>
              <w:t xml:space="preserv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w:t>
            </w:r>
            <w:r w:rsidRPr="006D33A0">
              <w:rPr>
                <w:rFonts w:ascii="Times New Roman" w:eastAsia="Times New Roman" w:hAnsi="Times New Roman" w:cs="Times New Roman"/>
                <w:szCs w:val="20"/>
                <w:lang w:eastAsia="pl-PL"/>
              </w:rPr>
              <w:t xml:space="preserve"> </w:t>
            </w:r>
          </w:p>
          <w:p w14:paraId="1EF32C5C" w14:textId="7B9B9FCD" w:rsidR="002E7359" w:rsidRPr="006D33A0" w:rsidRDefault="002E7359" w:rsidP="002E7359">
            <w:pPr>
              <w:spacing w:beforeLines="60" w:before="144" w:afterLines="60" w:after="144" w:line="240" w:lineRule="auto"/>
              <w:ind w:left="313" w:hanging="313"/>
              <w:jc w:val="both"/>
              <w:rPr>
                <w:rFonts w:ascii="Times New Roman" w:eastAsia="Times New Roman" w:hAnsi="Times New Roman" w:cs="Times New Roman"/>
                <w:szCs w:val="20"/>
              </w:rPr>
            </w:pPr>
            <w:r w:rsidRPr="006D33A0">
              <w:rPr>
                <w:rFonts w:ascii="Times New Roman" w:eastAsia="Times New Roman" w:hAnsi="Times New Roman" w:cs="Times New Roman"/>
                <w:szCs w:val="20"/>
                <w:lang w:eastAsia="pl-PL"/>
              </w:rPr>
              <w:t>2)</w:t>
            </w:r>
            <w:r w:rsidRPr="006D33A0">
              <w:rPr>
                <w:rFonts w:ascii="Times New Roman" w:eastAsia="Times New Roman" w:hAnsi="Times New Roman" w:cs="Times New Roman"/>
                <w:szCs w:val="20"/>
                <w:lang w:eastAsia="pl-PL"/>
              </w:rPr>
              <w:tab/>
            </w:r>
            <w:r w:rsidRPr="006D33A0">
              <w:rPr>
                <w:rFonts w:ascii="Times New Roman" w:eastAsia="Times New Roman" w:hAnsi="Times New Roman" w:cs="Times New Roman"/>
                <w:szCs w:val="20"/>
              </w:rPr>
              <w:t xml:space="preserve">w przypadku umów, o których mowa w art. 2 ust. 2 ustawy z dnia 20 maja 2021 r. o ochronie praw nabywcy lokalu mieszkalnego lub domu jednorodzinnego oraz Deweloperskim Funduszu Gwarancyjnym – o zgodzie banku, kasy lub innego wierzyciela hipotecznego na </w:t>
            </w:r>
            <w:proofErr w:type="spellStart"/>
            <w:r w:rsidRPr="006D33A0">
              <w:rPr>
                <w:rFonts w:ascii="Times New Roman" w:eastAsia="Times New Roman" w:hAnsi="Times New Roman" w:cs="Times New Roman"/>
                <w:szCs w:val="20"/>
              </w:rPr>
              <w:t>bezobciążeniowe</w:t>
            </w:r>
            <w:proofErr w:type="spellEnd"/>
            <w:r w:rsidRPr="006D33A0">
              <w:rPr>
                <w:rFonts w:ascii="Times New Roman" w:eastAsia="Times New Roman" w:hAnsi="Times New Roman" w:cs="Times New Roman"/>
                <w:szCs w:val="20"/>
              </w:rPr>
              <w:t xml:space="preserve"> przeniesienie własności lokalu użytkowego na nabywcę po wpłacie pełnej ceny przez nabywcę lub zobowiązaniu do udzielenia takiej zgody, jeżeli takie obciążenie istnieje, albo zgodzie banku, kasy lub innego wierzyciela hipotecznego na </w:t>
            </w:r>
            <w:proofErr w:type="spellStart"/>
            <w:r w:rsidRPr="006D33A0">
              <w:rPr>
                <w:rFonts w:ascii="Times New Roman" w:eastAsia="Times New Roman" w:hAnsi="Times New Roman" w:cs="Times New Roman"/>
                <w:szCs w:val="20"/>
              </w:rPr>
              <w:t>bezobciążeniowe</w:t>
            </w:r>
            <w:proofErr w:type="spellEnd"/>
            <w:r w:rsidRPr="006D33A0">
              <w:rPr>
                <w:rFonts w:ascii="Times New Roman" w:eastAsia="Times New Roman" w:hAnsi="Times New Roman" w:cs="Times New Roman"/>
                <w:szCs w:val="20"/>
              </w:rPr>
              <w:t xml:space="preserve"> przeniesienie na nabywcę ułamkowej części własności lokalu użytkowego po wpłacie pełnej ceny przez nabywcę lub zobowiązaniu do udzielenia takiej zgody, jeżeli takie obciążenie istnieje.</w:t>
            </w:r>
          </w:p>
        </w:tc>
      </w:tr>
      <w:tr w:rsidR="002E7359" w:rsidRPr="002835A8" w14:paraId="06E4B442" w14:textId="77777777" w:rsidTr="000F440E">
        <w:trPr>
          <w:trHeight w:val="1512"/>
        </w:trPr>
        <w:tc>
          <w:tcPr>
            <w:tcW w:w="9782" w:type="dxa"/>
            <w:gridSpan w:val="3"/>
            <w:tcBorders>
              <w:top w:val="nil"/>
              <w:bottom w:val="nil"/>
            </w:tcBorders>
            <w:shd w:val="clear" w:color="auto" w:fill="FFFFFF"/>
          </w:tcPr>
          <w:p w14:paraId="0F544B0B" w14:textId="05CB6F02" w:rsidR="002E7359" w:rsidRPr="006D33A0" w:rsidRDefault="002E7359" w:rsidP="002E7359">
            <w:pPr>
              <w:spacing w:beforeLines="60" w:before="144" w:afterLines="60" w:after="144" w:line="240" w:lineRule="auto"/>
              <w:jc w:val="both"/>
              <w:rPr>
                <w:rFonts w:ascii="Times New Roman" w:eastAsia="Times New Roman" w:hAnsi="Times New Roman" w:cs="Times New Roman"/>
                <w:szCs w:val="20"/>
              </w:rPr>
            </w:pPr>
            <w:r w:rsidRPr="006D33A0">
              <w:rPr>
                <w:rFonts w:ascii="Times New Roman" w:eastAsia="Times New Roman" w:hAnsi="Times New Roman" w:cs="Times New Roman"/>
                <w:szCs w:val="20"/>
              </w:rPr>
              <w:t>II. Informacja o możliwości zapoznania się w lokalu przedsiębiorstwa przez osobę zainteresowaną zawarciem umowy odpowiednio do zakresu umowy z:</w:t>
            </w:r>
          </w:p>
          <w:p w14:paraId="2FCF97B9" w14:textId="10D9C9FE" w:rsidR="002E7359" w:rsidRPr="006D33A0" w:rsidRDefault="002E7359" w:rsidP="002E7359">
            <w:pPr>
              <w:widowControl w:val="0"/>
              <w:numPr>
                <w:ilvl w:val="0"/>
                <w:numId w:val="3"/>
              </w:numPr>
              <w:autoSpaceDE w:val="0"/>
              <w:autoSpaceDN w:val="0"/>
              <w:adjustRightInd w:val="0"/>
              <w:spacing w:beforeLines="60" w:before="144" w:afterLines="60" w:after="144" w:line="240" w:lineRule="auto"/>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aktualnym stanem księgi wieczystej prowadzonej dla nieruchomości;</w:t>
            </w:r>
          </w:p>
          <w:p w14:paraId="73EB75F8" w14:textId="1905133A" w:rsidR="002E7359" w:rsidRPr="006D33A0" w:rsidRDefault="002E7359" w:rsidP="002E7359">
            <w:pPr>
              <w:widowControl w:val="0"/>
              <w:numPr>
                <w:ilvl w:val="0"/>
                <w:numId w:val="3"/>
              </w:numPr>
              <w:autoSpaceDE w:val="0"/>
              <w:autoSpaceDN w:val="0"/>
              <w:adjustRightInd w:val="0"/>
              <w:spacing w:beforeLines="60" w:before="144" w:afterLines="60" w:after="144" w:line="240" w:lineRule="auto"/>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aktualnym odpisem, wyciągiem, zaświadczeniem lub wydrukiem komputerowym z Centralnej Informacji Krajowego Rejestru Sądowego, jeżeli podmiot podlega wpisowi do Krajowego Rejestru Sądowego, albo aktualnym zaświadczeniem o wpisie do Centralnej Ewidencji i Informacji o Działalności Gospodarczej;</w:t>
            </w:r>
          </w:p>
          <w:p w14:paraId="10800EF2" w14:textId="7410942F" w:rsidR="002E7359" w:rsidRPr="006D33A0" w:rsidRDefault="002E7359" w:rsidP="002E7359">
            <w:pPr>
              <w:widowControl w:val="0"/>
              <w:numPr>
                <w:ilvl w:val="0"/>
                <w:numId w:val="3"/>
              </w:numPr>
              <w:autoSpaceDE w:val="0"/>
              <w:autoSpaceDN w:val="0"/>
              <w:adjustRightInd w:val="0"/>
              <w:spacing w:beforeLines="60" w:before="144" w:afterLines="60" w:after="144" w:line="240" w:lineRule="auto"/>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pozwoleniem na budowę albo zgłoszeniem budowy, o którym mowa w art. 29 ust. 1 pkt 1 ustawy z dnia 7 lipca 1994 r. – Prawo budowlane, do którego organ administracji architektoniczno-budowlanej nie wniósł sprzeciwu;</w:t>
            </w:r>
          </w:p>
          <w:p w14:paraId="1BCA1BB4" w14:textId="3A0AFD16" w:rsidR="002E7359" w:rsidRPr="006D33A0" w:rsidRDefault="002E7359" w:rsidP="002E7359">
            <w:pPr>
              <w:widowControl w:val="0"/>
              <w:numPr>
                <w:ilvl w:val="0"/>
                <w:numId w:val="3"/>
              </w:numPr>
              <w:autoSpaceDE w:val="0"/>
              <w:autoSpaceDN w:val="0"/>
              <w:adjustRightInd w:val="0"/>
              <w:spacing w:beforeLines="60" w:before="144" w:afterLines="60" w:after="144" w:line="240" w:lineRule="auto"/>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sprawozdaniem finansowym dewelopera za ostatnie dwa lata, a w przypadku;</w:t>
            </w:r>
          </w:p>
          <w:p w14:paraId="16E279C1" w14:textId="2865DEA7" w:rsidR="002E7359" w:rsidRPr="006D33A0" w:rsidRDefault="002E7359" w:rsidP="002E7359">
            <w:pPr>
              <w:widowControl w:val="0"/>
              <w:autoSpaceDE w:val="0"/>
              <w:autoSpaceDN w:val="0"/>
              <w:adjustRightInd w:val="0"/>
              <w:spacing w:beforeLines="60" w:before="144" w:afterLines="60" w:after="144" w:line="240" w:lineRule="auto"/>
              <w:ind w:left="765"/>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a) prowadzenia działalności przez okres krótszy niż dwa lata – sprawozdaniem finansowym za okres ostatniego roku,</w:t>
            </w:r>
          </w:p>
          <w:p w14:paraId="529C14AD" w14:textId="671B7A24" w:rsidR="002E7359" w:rsidRPr="006D33A0" w:rsidRDefault="002E7359" w:rsidP="002E7359">
            <w:pPr>
              <w:widowControl w:val="0"/>
              <w:autoSpaceDE w:val="0"/>
              <w:autoSpaceDN w:val="0"/>
              <w:adjustRightInd w:val="0"/>
              <w:spacing w:beforeLines="60" w:before="144" w:afterLines="60" w:after="144" w:line="240" w:lineRule="auto"/>
              <w:ind w:left="765"/>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b) realizacji inwestycji przez spółkę celową – sprawozdaniem spółki dominującej oraz spółki celowej;</w:t>
            </w:r>
          </w:p>
          <w:p w14:paraId="33958E4D" w14:textId="7A1EC2BD" w:rsidR="002E7359" w:rsidRPr="006D33A0" w:rsidRDefault="002E7359" w:rsidP="002E7359">
            <w:pPr>
              <w:widowControl w:val="0"/>
              <w:numPr>
                <w:ilvl w:val="0"/>
                <w:numId w:val="3"/>
              </w:numPr>
              <w:autoSpaceDE w:val="0"/>
              <w:autoSpaceDN w:val="0"/>
              <w:adjustRightInd w:val="0"/>
              <w:spacing w:beforeLines="60" w:before="144" w:afterLines="60" w:after="144" w:line="240" w:lineRule="auto"/>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projektem budowlanym;</w:t>
            </w:r>
          </w:p>
          <w:p w14:paraId="0B80E582" w14:textId="27A572BB" w:rsidR="002E7359" w:rsidRPr="006D33A0" w:rsidRDefault="002E7359" w:rsidP="002E7359">
            <w:pPr>
              <w:widowControl w:val="0"/>
              <w:numPr>
                <w:ilvl w:val="0"/>
                <w:numId w:val="3"/>
              </w:numPr>
              <w:autoSpaceDE w:val="0"/>
              <w:autoSpaceDN w:val="0"/>
              <w:adjustRightInd w:val="0"/>
              <w:spacing w:beforeLines="60" w:before="144" w:afterLines="60" w:after="144" w:line="240" w:lineRule="auto"/>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decyzją o pozwoleniu na użytkowanie budynku lub zawiadomieniem o zakończeniu budowy, do którego organ nadzoru budowlanego nie wniósł sprzeciwu;</w:t>
            </w:r>
          </w:p>
          <w:p w14:paraId="6AF17548" w14:textId="5ABBE9C0" w:rsidR="002E7359" w:rsidRPr="006D33A0" w:rsidRDefault="002E7359" w:rsidP="002E7359">
            <w:pPr>
              <w:widowControl w:val="0"/>
              <w:numPr>
                <w:ilvl w:val="0"/>
                <w:numId w:val="3"/>
              </w:numPr>
              <w:autoSpaceDE w:val="0"/>
              <w:autoSpaceDN w:val="0"/>
              <w:adjustRightInd w:val="0"/>
              <w:spacing w:beforeLines="60" w:before="144" w:afterLines="60" w:after="144" w:line="240" w:lineRule="auto"/>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lastRenderedPageBreak/>
              <w:t>zaświadczeniem o samodzielności lokalu;</w:t>
            </w:r>
          </w:p>
          <w:p w14:paraId="7603573E" w14:textId="323A02C6" w:rsidR="002E7359" w:rsidRPr="006D33A0" w:rsidRDefault="002E7359" w:rsidP="002E7359">
            <w:pPr>
              <w:widowControl w:val="0"/>
              <w:numPr>
                <w:ilvl w:val="0"/>
                <w:numId w:val="3"/>
              </w:numPr>
              <w:autoSpaceDE w:val="0"/>
              <w:autoSpaceDN w:val="0"/>
              <w:adjustRightInd w:val="0"/>
              <w:spacing w:beforeLines="60" w:before="144" w:afterLines="60" w:after="144" w:line="240" w:lineRule="auto"/>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aktem ustanowienia odrębnej własności lokalu;</w:t>
            </w:r>
          </w:p>
          <w:p w14:paraId="76892132" w14:textId="19089937" w:rsidR="002E7359" w:rsidRPr="006D33A0" w:rsidRDefault="002E7359" w:rsidP="002E7359">
            <w:pPr>
              <w:widowControl w:val="0"/>
              <w:numPr>
                <w:ilvl w:val="0"/>
                <w:numId w:val="3"/>
              </w:numPr>
              <w:autoSpaceDE w:val="0"/>
              <w:autoSpaceDN w:val="0"/>
              <w:adjustRightInd w:val="0"/>
              <w:spacing w:beforeLines="60" w:before="144" w:afterLines="60" w:after="144" w:line="240" w:lineRule="auto"/>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dokumentem potwierdzającym:</w:t>
            </w:r>
          </w:p>
          <w:p w14:paraId="4C2D28D1" w14:textId="150F4F20" w:rsidR="002E7359" w:rsidRPr="006D33A0" w:rsidRDefault="002E7359" w:rsidP="002E7359">
            <w:pPr>
              <w:widowControl w:val="0"/>
              <w:numPr>
                <w:ilvl w:val="0"/>
                <w:numId w:val="4"/>
              </w:numPr>
              <w:autoSpaceDE w:val="0"/>
              <w:autoSpaceDN w:val="0"/>
              <w:adjustRightInd w:val="0"/>
              <w:spacing w:beforeLines="60" w:before="144" w:afterLines="60" w:after="144" w:line="240" w:lineRule="auto"/>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 xml:space="preserve">zgodę banku, kasy lub innego wierzyciela hipotecznego na </w:t>
            </w:r>
            <w:proofErr w:type="spellStart"/>
            <w:r w:rsidRPr="006D33A0">
              <w:rPr>
                <w:rFonts w:ascii="Times New Roman" w:eastAsia="Times New Roman" w:hAnsi="Times New Roman" w:cs="Times New Roman"/>
                <w:szCs w:val="20"/>
              </w:rPr>
              <w:t>bezobciążeniowe</w:t>
            </w:r>
            <w:proofErr w:type="spellEnd"/>
            <w:r w:rsidRPr="006D33A0">
              <w:rPr>
                <w:rFonts w:ascii="Times New Roman" w:eastAsia="Times New Roman" w:hAnsi="Times New Roman" w:cs="Times New Roman"/>
                <w:szCs w:val="20"/>
              </w:rPr>
              <w:t xml:space="preserve"> ustanowienie odrębnej własności lokalu mieszkalnego i przeniesienie jego własności na nabywcę po wpłacie pełnej ceny przez nabywcę lub zobowiązanie do jej udzielenia, jeżeli takie obciążenie istnieje, albo zgodę banku, kasy lub innego wierzyciela hipotecznego na </w:t>
            </w:r>
            <w:proofErr w:type="spellStart"/>
            <w:r w:rsidRPr="006D33A0">
              <w:rPr>
                <w:rFonts w:ascii="Times New Roman" w:eastAsia="Times New Roman" w:hAnsi="Times New Roman" w:cs="Times New Roman"/>
                <w:szCs w:val="20"/>
              </w:rPr>
              <w:t>bezobciążeniowe</w:t>
            </w:r>
            <w:proofErr w:type="spellEnd"/>
            <w:r w:rsidRPr="006D33A0">
              <w:rPr>
                <w:rFonts w:ascii="Times New Roman" w:eastAsia="Times New Roman" w:hAnsi="Times New Roman" w:cs="Times New Roman"/>
                <w:szCs w:val="20"/>
              </w:rPr>
              <w:t xml:space="preserv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zobowiązanie do jej udzielenia, jeżeli takie obciążenie istnieje</w:t>
            </w:r>
            <w:r w:rsidRPr="006D33A0">
              <w:rPr>
                <w:rFonts w:ascii="Times New Roman" w:eastAsia="Times New Roman" w:hAnsi="Times New Roman" w:cs="Times New Roman"/>
                <w:szCs w:val="20"/>
                <w:lang w:eastAsia="pl-PL"/>
              </w:rPr>
              <w:t xml:space="preserve">, </w:t>
            </w:r>
          </w:p>
          <w:p w14:paraId="7B83B5DC" w14:textId="7015F458" w:rsidR="002E7359" w:rsidRPr="006D33A0" w:rsidRDefault="002E7359" w:rsidP="002E7359">
            <w:pPr>
              <w:widowControl w:val="0"/>
              <w:numPr>
                <w:ilvl w:val="0"/>
                <w:numId w:val="4"/>
              </w:numPr>
              <w:autoSpaceDE w:val="0"/>
              <w:autoSpaceDN w:val="0"/>
              <w:adjustRightInd w:val="0"/>
              <w:spacing w:beforeLines="60" w:before="144" w:afterLines="60" w:after="144" w:line="240" w:lineRule="auto"/>
              <w:contextualSpacing/>
              <w:jc w:val="both"/>
              <w:rPr>
                <w:rFonts w:ascii="Times New Roman" w:eastAsia="Times New Roman" w:hAnsi="Times New Roman" w:cs="Times New Roman"/>
                <w:szCs w:val="20"/>
              </w:rPr>
            </w:pPr>
            <w:r w:rsidRPr="006D33A0">
              <w:rPr>
                <w:rFonts w:ascii="Times New Roman" w:eastAsia="Times New Roman" w:hAnsi="Times New Roman" w:cs="Times New Roman"/>
                <w:szCs w:val="20"/>
              </w:rPr>
              <w:t xml:space="preserve">w przypadku umów, o których mowa w art. 2 ust. 2 ustawy z dnia 20 maja 2021 r. o ochronie praw nabywcy lokalu mieszkalnego lub domu jednorodzinnego oraz Deweloperskim Funduszu Gwarancyjnym – zgodę banku, kasy lub innego wierzyciela hipotecznego na </w:t>
            </w:r>
            <w:proofErr w:type="spellStart"/>
            <w:r w:rsidRPr="006D33A0">
              <w:rPr>
                <w:rFonts w:ascii="Times New Roman" w:eastAsia="Times New Roman" w:hAnsi="Times New Roman" w:cs="Times New Roman"/>
                <w:szCs w:val="20"/>
              </w:rPr>
              <w:t>bezobciążeniowe</w:t>
            </w:r>
            <w:proofErr w:type="spellEnd"/>
            <w:r w:rsidRPr="006D33A0">
              <w:rPr>
                <w:rFonts w:ascii="Times New Roman" w:eastAsia="Times New Roman" w:hAnsi="Times New Roman" w:cs="Times New Roman"/>
                <w:szCs w:val="20"/>
              </w:rPr>
              <w:t xml:space="preserve"> przeniesienie własności lokalu użytkowego na nabywcę po wpłacie pełnej ceny przez nabywcę lub zobowiązanie do udzielenia takiej zgody, jeżeli takie obciążenie istnieje, albo zgodę banku, kasy lub innego wierzyciela hipotecznego na </w:t>
            </w:r>
            <w:proofErr w:type="spellStart"/>
            <w:r w:rsidRPr="006D33A0">
              <w:rPr>
                <w:rFonts w:ascii="Times New Roman" w:eastAsia="Times New Roman" w:hAnsi="Times New Roman" w:cs="Times New Roman"/>
                <w:szCs w:val="20"/>
              </w:rPr>
              <w:t>bezobciążeniowe</w:t>
            </w:r>
            <w:proofErr w:type="spellEnd"/>
            <w:r w:rsidRPr="006D33A0">
              <w:rPr>
                <w:rFonts w:ascii="Times New Roman" w:eastAsia="Times New Roman" w:hAnsi="Times New Roman" w:cs="Times New Roman"/>
                <w:szCs w:val="20"/>
              </w:rPr>
              <w:t xml:space="preserve"> przeniesienie na nabywcę ułamkowej części własności lokalu użytkowego po wpłacie pełnej ceny przez nabywcę lub zobowiązanie do udzielenia takiej zgody, jeżeli takie obciążenie istnieje.</w:t>
            </w:r>
          </w:p>
        </w:tc>
      </w:tr>
      <w:tr w:rsidR="002E7359" w:rsidRPr="002835A8" w14:paraId="6469D856" w14:textId="77777777" w:rsidTr="000F440E">
        <w:trPr>
          <w:trHeight w:val="1512"/>
        </w:trPr>
        <w:tc>
          <w:tcPr>
            <w:tcW w:w="9782" w:type="dxa"/>
            <w:gridSpan w:val="3"/>
            <w:tcBorders>
              <w:top w:val="nil"/>
            </w:tcBorders>
            <w:shd w:val="clear" w:color="auto" w:fill="FFFFFF"/>
          </w:tcPr>
          <w:p w14:paraId="0EE3FADB" w14:textId="1A7CD9A2" w:rsidR="002E7359" w:rsidRPr="006D33A0" w:rsidRDefault="002E7359" w:rsidP="002E7359">
            <w:pPr>
              <w:spacing w:beforeLines="60" w:before="144" w:afterLines="60" w:after="144" w:line="240" w:lineRule="auto"/>
              <w:jc w:val="both"/>
              <w:rPr>
                <w:rFonts w:ascii="Times New Roman" w:eastAsia="Times New Roman" w:hAnsi="Times New Roman" w:cs="Times New Roman"/>
                <w:szCs w:val="20"/>
              </w:rPr>
            </w:pPr>
            <w:r w:rsidRPr="006D33A0">
              <w:rPr>
                <w:rFonts w:ascii="Times New Roman" w:eastAsia="Times New Roman" w:hAnsi="Times New Roman" w:cs="Times New Roman"/>
                <w:szCs w:val="20"/>
              </w:rPr>
              <w:lastRenderedPageBreak/>
              <w:t>III. Informacja:</w:t>
            </w:r>
          </w:p>
          <w:p w14:paraId="44D24FD4" w14:textId="28365AF3" w:rsidR="002E7359" w:rsidRPr="006D33A0" w:rsidRDefault="002E7359" w:rsidP="002E7359">
            <w:pPr>
              <w:spacing w:beforeLines="60" w:before="144" w:afterLines="60" w:after="144" w:line="240" w:lineRule="auto"/>
              <w:jc w:val="both"/>
              <w:rPr>
                <w:rFonts w:ascii="Times New Roman" w:eastAsia="Times New Roman" w:hAnsi="Times New Roman" w:cs="Times New Roman"/>
                <w:szCs w:val="20"/>
              </w:rPr>
            </w:pPr>
            <w:r w:rsidRPr="006D33A0">
              <w:rPr>
                <w:rFonts w:ascii="Times New Roman" w:eastAsia="Times New Roman" w:hAnsi="Times New Roman" w:cs="Times New Roman"/>
                <w:szCs w:val="20"/>
              </w:rPr>
              <w:t>Środki pieniężne zgromadzone w</w:t>
            </w:r>
            <w:r w:rsidRPr="006D33A0">
              <w:rPr>
                <w:rFonts w:ascii="Times New Roman" w:hAnsi="Times New Roman" w:cs="Times New Roman"/>
                <w:szCs w:val="20"/>
              </w:rPr>
              <w:t xml:space="preserve"> </w:t>
            </w:r>
            <w:r w:rsidR="00255C85">
              <w:rPr>
                <w:rFonts w:ascii="Times New Roman" w:hAnsi="Times New Roman" w:cs="Times New Roman"/>
                <w:szCs w:val="20"/>
              </w:rPr>
              <w:t>mBanku SA</w:t>
            </w:r>
            <w:r w:rsidR="00255C85" w:rsidRPr="006D33A0">
              <w:rPr>
                <w:rFonts w:ascii="Times New Roman" w:hAnsi="Times New Roman" w:cs="Times New Roman"/>
                <w:szCs w:val="20"/>
              </w:rPr>
              <w:t xml:space="preserve"> </w:t>
            </w:r>
            <w:r w:rsidRPr="006D33A0">
              <w:rPr>
                <w:rFonts w:ascii="Times New Roman" w:eastAsia="Times New Roman" w:hAnsi="Times New Roman" w:cs="Times New Roman"/>
                <w:szCs w:val="20"/>
              </w:rPr>
              <w:t>prowadzącym otwarty mieszkaniowy rachunek powierniczy albo zamknięty mieszkaniowy rachunek powierniczy, są objęte ochroną obowiązkowego systemu gwarantowania depozytów, na zasadach określonych w ustawie z dnia 10 czerwca 2016 r. o Bankowym Funduszu Gwarancyjnym, systemie gwarantowania depozytów oraz przymusowej restrukturyzacji (Dz. U. z 2022 r. poz. 2253 oraz z 2023 r. poz. 825, 1705, 1784 i 1843).</w:t>
            </w:r>
          </w:p>
          <w:p w14:paraId="534D433E" w14:textId="77777777" w:rsidR="002E7359" w:rsidRPr="006D33A0" w:rsidRDefault="002E7359" w:rsidP="002E7359">
            <w:pPr>
              <w:spacing w:beforeLines="60" w:before="144" w:afterLines="60" w:after="144" w:line="240" w:lineRule="auto"/>
              <w:jc w:val="both"/>
              <w:rPr>
                <w:rFonts w:ascii="Times New Roman" w:eastAsia="Times New Roman" w:hAnsi="Times New Roman" w:cs="Times New Roman"/>
                <w:szCs w:val="20"/>
              </w:rPr>
            </w:pPr>
            <w:r w:rsidRPr="006D33A0">
              <w:rPr>
                <w:rFonts w:ascii="Times New Roman" w:eastAsia="Times New Roman" w:hAnsi="Times New Roman" w:cs="Times New Roman"/>
                <w:szCs w:val="20"/>
              </w:rPr>
              <w:t>Informacje podstawowe o obowiązkowym systemie gwarantowania depozytów:</w:t>
            </w:r>
          </w:p>
          <w:p w14:paraId="09596981" w14:textId="20F1FF54" w:rsidR="002E7359" w:rsidRPr="006D33A0" w:rsidRDefault="002E7359" w:rsidP="002E7359">
            <w:pPr>
              <w:spacing w:beforeLines="60" w:before="144" w:afterLines="60" w:after="144" w:line="240" w:lineRule="auto"/>
              <w:ind w:left="313" w:hanging="313"/>
              <w:jc w:val="both"/>
              <w:rPr>
                <w:rFonts w:ascii="Times New Roman" w:hAnsi="Times New Roman" w:cs="Times New Roman"/>
                <w:szCs w:val="20"/>
              </w:rPr>
            </w:pPr>
            <w:r w:rsidRPr="006D33A0">
              <w:rPr>
                <w:rFonts w:ascii="Times New Roman" w:eastAsia="Times New Roman" w:hAnsi="Times New Roman" w:cs="Times New Roman"/>
                <w:szCs w:val="20"/>
              </w:rPr>
              <w:t>–</w:t>
            </w:r>
            <w:r w:rsidRPr="006D33A0">
              <w:rPr>
                <w:rFonts w:ascii="Times New Roman" w:eastAsia="Times New Roman" w:hAnsi="Times New Roman" w:cs="Times New Roman"/>
                <w:szCs w:val="20"/>
              </w:rPr>
              <w:tab/>
              <w:t xml:space="preserve">ochrona środków dotyczy sytuacji spełnienia warunku gwarancji wobec </w:t>
            </w:r>
            <w:r w:rsidR="00255C85">
              <w:rPr>
                <w:rFonts w:ascii="Times New Roman" w:hAnsi="Times New Roman" w:cs="Times New Roman"/>
                <w:szCs w:val="20"/>
              </w:rPr>
              <w:t>mBanku SA</w:t>
            </w:r>
          </w:p>
          <w:p w14:paraId="2CBAD825" w14:textId="09F0C7DC" w:rsidR="002E7359" w:rsidRPr="006D33A0" w:rsidRDefault="002E7359" w:rsidP="002E7359">
            <w:pPr>
              <w:spacing w:beforeLines="60" w:before="144" w:afterLines="60" w:after="144" w:line="240" w:lineRule="auto"/>
              <w:ind w:left="313" w:hanging="313"/>
              <w:jc w:val="both"/>
              <w:rPr>
                <w:rFonts w:ascii="Times New Roman" w:eastAsia="Times New Roman" w:hAnsi="Times New Roman" w:cs="Times New Roman"/>
                <w:szCs w:val="20"/>
              </w:rPr>
            </w:pPr>
            <w:r w:rsidRPr="006D33A0">
              <w:rPr>
                <w:rFonts w:ascii="Times New Roman" w:eastAsia="Times New Roman" w:hAnsi="Times New Roman" w:cs="Times New Roman"/>
                <w:szCs w:val="20"/>
              </w:rPr>
              <w:t>–</w:t>
            </w:r>
            <w:r w:rsidRPr="006D33A0">
              <w:rPr>
                <w:rFonts w:ascii="Times New Roman" w:eastAsia="Times New Roman" w:hAnsi="Times New Roman" w:cs="Times New Roman"/>
                <w:szCs w:val="20"/>
              </w:rPr>
              <w:tab/>
              <w:t>w przypadku rachunku powierniczego deponentem (uprawnionym do środków gwarantowanych) jest każdy z powierzających, w granicach wynikających z jego udziału w kwocie zgromadzonej na tym rachunku, a w granicach pozostałej kwoty na rachunku prawo do środków gwarantowanych ma powiernik,</w:t>
            </w:r>
          </w:p>
          <w:p w14:paraId="1702D557" w14:textId="23F394E7" w:rsidR="002E7359" w:rsidRPr="006D33A0" w:rsidRDefault="002E7359" w:rsidP="002E7359">
            <w:pPr>
              <w:spacing w:beforeLines="60" w:before="144" w:afterLines="60" w:after="144" w:line="240" w:lineRule="auto"/>
              <w:ind w:left="313" w:hanging="313"/>
              <w:jc w:val="both"/>
              <w:rPr>
                <w:rFonts w:ascii="Times New Roman" w:eastAsia="Times New Roman" w:hAnsi="Times New Roman" w:cs="Times New Roman"/>
                <w:szCs w:val="20"/>
              </w:rPr>
            </w:pPr>
            <w:r w:rsidRPr="006D33A0">
              <w:rPr>
                <w:rFonts w:ascii="Times New Roman" w:eastAsia="Times New Roman" w:hAnsi="Times New Roman" w:cs="Times New Roman"/>
                <w:szCs w:val="20"/>
              </w:rPr>
              <w:t>–</w:t>
            </w:r>
            <w:r w:rsidRPr="006D33A0">
              <w:rPr>
                <w:rFonts w:ascii="Times New Roman" w:eastAsia="Times New Roman" w:hAnsi="Times New Roman" w:cs="Times New Roman"/>
                <w:szCs w:val="20"/>
              </w:rPr>
              <w:tab/>
              <w:t>limit gwarancyjny przypadający na jednego deponenta to równowartość w złotych 100 000 euro; w przypadkach określonych w art. 24 ust. 3 i 4 ustawy z dnia 10 czerwca 2016 r. o Bankowym Funduszu Gwarancyjnym, systemie gwarantowania depozytów oraz przymusowej restrukturyzacji, środki deponenta, w terminie 3 miesięcy od dnia ich wpływu na rachunek, objęte są gwarancjami ponad równowartość w złotych 100 000 euro,</w:t>
            </w:r>
          </w:p>
          <w:p w14:paraId="62BF3289" w14:textId="2E26831F" w:rsidR="002E7359" w:rsidRPr="006D33A0" w:rsidRDefault="002E7359" w:rsidP="002E7359">
            <w:pPr>
              <w:spacing w:beforeLines="60" w:before="144" w:afterLines="60" w:after="144" w:line="240" w:lineRule="auto"/>
              <w:ind w:left="313" w:hanging="313"/>
              <w:jc w:val="both"/>
              <w:rPr>
                <w:rFonts w:ascii="Times New Roman" w:eastAsia="Times New Roman" w:hAnsi="Times New Roman" w:cs="Times New Roman"/>
                <w:szCs w:val="20"/>
              </w:rPr>
            </w:pPr>
            <w:r w:rsidRPr="006D33A0">
              <w:rPr>
                <w:rFonts w:ascii="Times New Roman" w:eastAsia="Times New Roman" w:hAnsi="Times New Roman" w:cs="Times New Roman"/>
                <w:szCs w:val="20"/>
              </w:rPr>
              <w:t>–</w:t>
            </w:r>
            <w:r w:rsidRPr="006D33A0">
              <w:rPr>
                <w:rFonts w:ascii="Times New Roman" w:eastAsia="Times New Roman" w:hAnsi="Times New Roman" w:cs="Times New Roman"/>
                <w:szCs w:val="20"/>
              </w:rPr>
              <w:tab/>
              <w:t>podstawą wyliczenia kwoty środków gwarantowanych należnej deponentowi jest suma wszystkich podlegających ochronie należności tego deponenta od banku lub kasy, w tym należności z tytułu środków zgromadzonych na jego rachunkach osobistych i z tytułu jego udziału w środkach zgromadzonych na rachunku powierniczym,</w:t>
            </w:r>
          </w:p>
          <w:p w14:paraId="5C0299FE" w14:textId="1681120F" w:rsidR="002E7359" w:rsidRPr="006D33A0" w:rsidRDefault="002E7359" w:rsidP="002E7359">
            <w:pPr>
              <w:spacing w:beforeLines="60" w:before="144" w:afterLines="60" w:after="144" w:line="240" w:lineRule="auto"/>
              <w:ind w:left="313" w:hanging="313"/>
              <w:jc w:val="both"/>
              <w:rPr>
                <w:rFonts w:ascii="Times New Roman" w:eastAsia="Times New Roman" w:hAnsi="Times New Roman" w:cs="Times New Roman"/>
                <w:szCs w:val="20"/>
              </w:rPr>
            </w:pPr>
            <w:r w:rsidRPr="006D33A0">
              <w:rPr>
                <w:rFonts w:ascii="Times New Roman" w:eastAsia="Times New Roman" w:hAnsi="Times New Roman" w:cs="Times New Roman"/>
                <w:szCs w:val="20"/>
              </w:rPr>
              <w:t>–</w:t>
            </w:r>
            <w:r w:rsidRPr="006D33A0">
              <w:rPr>
                <w:rFonts w:ascii="Times New Roman" w:eastAsia="Times New Roman" w:hAnsi="Times New Roman" w:cs="Times New Roman"/>
                <w:szCs w:val="20"/>
              </w:rPr>
              <w:tab/>
              <w:t>wypłata środków gwarantowanych – co do zasady – następuje w terminie 7 dni roboczych od dnia spełnienia warunku gwarancji wobec banku lub kasy,</w:t>
            </w:r>
          </w:p>
          <w:p w14:paraId="6ADA9883" w14:textId="77777777" w:rsidR="002E7359" w:rsidRPr="006D33A0" w:rsidRDefault="002E7359" w:rsidP="002E7359">
            <w:pPr>
              <w:spacing w:beforeLines="60" w:before="144" w:afterLines="60" w:after="144" w:line="240" w:lineRule="auto"/>
              <w:ind w:left="313" w:hanging="313"/>
              <w:jc w:val="both"/>
              <w:rPr>
                <w:rFonts w:ascii="Times New Roman" w:eastAsia="Times New Roman" w:hAnsi="Times New Roman" w:cs="Times New Roman"/>
                <w:szCs w:val="20"/>
              </w:rPr>
            </w:pPr>
            <w:r w:rsidRPr="006D33A0">
              <w:rPr>
                <w:rFonts w:ascii="Times New Roman" w:eastAsia="Times New Roman" w:hAnsi="Times New Roman" w:cs="Times New Roman"/>
                <w:szCs w:val="20"/>
              </w:rPr>
              <w:t>–</w:t>
            </w:r>
            <w:r w:rsidRPr="006D33A0">
              <w:rPr>
                <w:rFonts w:ascii="Times New Roman" w:eastAsia="Times New Roman" w:hAnsi="Times New Roman" w:cs="Times New Roman"/>
                <w:szCs w:val="20"/>
              </w:rPr>
              <w:tab/>
              <w:t>wypłata środków gwarantowanych jest dokonywana w złotych,</w:t>
            </w:r>
          </w:p>
          <w:p w14:paraId="2CCC337C" w14:textId="7F485DBD" w:rsidR="002E7359" w:rsidRPr="006D33A0" w:rsidRDefault="002E7359" w:rsidP="002E7359">
            <w:pPr>
              <w:pStyle w:val="TableParagraph"/>
              <w:tabs>
                <w:tab w:val="left" w:pos="421"/>
              </w:tabs>
              <w:spacing w:before="144"/>
              <w:ind w:right="100"/>
              <w:jc w:val="both"/>
              <w:rPr>
                <w:szCs w:val="20"/>
              </w:rPr>
            </w:pPr>
            <w:r w:rsidRPr="006D33A0">
              <w:rPr>
                <w:szCs w:val="20"/>
              </w:rPr>
              <w:t xml:space="preserve">–    </w:t>
            </w:r>
            <w:r w:rsidR="00255C85">
              <w:rPr>
                <w:szCs w:val="20"/>
              </w:rPr>
              <w:t>mBank SA</w:t>
            </w:r>
            <w:r w:rsidR="00255C85" w:rsidRPr="006D33A0">
              <w:rPr>
                <w:szCs w:val="20"/>
              </w:rPr>
              <w:t xml:space="preserve"> </w:t>
            </w:r>
            <w:r w:rsidRPr="006D33A0">
              <w:rPr>
                <w:szCs w:val="20"/>
              </w:rPr>
              <w:t xml:space="preserve">korzysta także z następujących znaków towarowych:  </w:t>
            </w:r>
            <w:r w:rsidR="00255C85">
              <w:rPr>
                <w:szCs w:val="20"/>
              </w:rPr>
              <w:t>mBank</w:t>
            </w:r>
          </w:p>
          <w:p w14:paraId="7A1BFCA6" w14:textId="4177D251" w:rsidR="002E7359" w:rsidRPr="006D33A0" w:rsidRDefault="002E7359" w:rsidP="002E7359">
            <w:pPr>
              <w:spacing w:beforeLines="60" w:before="144" w:afterLines="60" w:after="144" w:line="240" w:lineRule="auto"/>
              <w:jc w:val="both"/>
              <w:rPr>
                <w:rFonts w:ascii="Times New Roman" w:eastAsia="Times New Roman" w:hAnsi="Times New Roman" w:cs="Times New Roman"/>
                <w:szCs w:val="20"/>
              </w:rPr>
            </w:pPr>
            <w:r w:rsidRPr="006D33A0">
              <w:rPr>
                <w:rFonts w:ascii="Times New Roman" w:eastAsia="Times New Roman" w:hAnsi="Times New Roman" w:cs="Times New Roman"/>
                <w:szCs w:val="20"/>
              </w:rPr>
              <w:lastRenderedPageBreak/>
              <w:t>Dalsze informacje na temat systemu gwarantowania depozytów można uzyskać na stronie internetowej Bankowego Funduszu Gwarancyjnego: https://www.bfg.pl/.</w:t>
            </w:r>
          </w:p>
          <w:p w14:paraId="28853CDE" w14:textId="77777777" w:rsidR="002E7359" w:rsidRPr="006D33A0" w:rsidRDefault="002E7359" w:rsidP="002E7359">
            <w:pPr>
              <w:spacing w:after="0" w:line="240" w:lineRule="auto"/>
              <w:jc w:val="both"/>
              <w:rPr>
                <w:rFonts w:ascii="Times New Roman" w:eastAsia="Times New Roman" w:hAnsi="Times New Roman" w:cs="Times New Roman"/>
                <w:szCs w:val="20"/>
              </w:rPr>
            </w:pPr>
            <w:r w:rsidRPr="006D33A0">
              <w:rPr>
                <w:rFonts w:ascii="Times New Roman" w:eastAsia="Times New Roman" w:hAnsi="Times New Roman" w:cs="Times New Roman"/>
                <w:szCs w:val="20"/>
              </w:rPr>
              <w:t xml:space="preserve">Informacja zamieszczana w przypadku zawarcia umowy mieszkaniowego rachunku powierniczego z oddziałem instytucji kredytowej w rozumieniu art. 4 ust. 1 pkt 18 ustawy z dnia 29 sierpnia 1997 r. – Prawo bankowe (Dz. U. z 2022 r. poz. 2324, 2339, 2640 i 2707 oraz z 2023 r. poz. 180, 825, 996, 1059, 1394, 1407, 1723 i 1843). </w:t>
            </w:r>
          </w:p>
          <w:p w14:paraId="253E5C5B" w14:textId="5972ED1B" w:rsidR="002E7359" w:rsidRPr="006D33A0" w:rsidRDefault="002E7359" w:rsidP="002E7359">
            <w:pPr>
              <w:spacing w:after="0" w:line="240" w:lineRule="auto"/>
              <w:jc w:val="both"/>
              <w:rPr>
                <w:rFonts w:ascii="Times New Roman" w:eastAsia="Times New Roman" w:hAnsi="Times New Roman" w:cs="Times New Roman"/>
                <w:szCs w:val="20"/>
              </w:rPr>
            </w:pPr>
            <w:r w:rsidRPr="006D33A0">
              <w:rPr>
                <w:rFonts w:ascii="Times New Roman" w:eastAsia="Times New Roman" w:hAnsi="Times New Roman" w:cs="Times New Roman"/>
                <w:szCs w:val="20"/>
              </w:rPr>
              <w:t>Oddział instytucji kredytowej w rozumieniu art. 4 ust. 1 pkt 18 ustawy z dnia 29 sierpnia 1997 r. – Prawo bankowe jest objęty systemem gwarantowania państwa macierzystego, co oznacza, że nie mają do niego zastosowania przepisy ustawy z dnia 10 czerwca 2016 r. o Bankowym Funduszu Gwarancyjnym, systemie gwarantowania depozytów oraz przymusowej restrukturyzacji.</w:t>
            </w:r>
          </w:p>
        </w:tc>
      </w:tr>
    </w:tbl>
    <w:p w14:paraId="6266B61F" w14:textId="77777777" w:rsidR="00F80A03" w:rsidRDefault="00F80A03" w:rsidP="00F80A03">
      <w:pPr>
        <w:spacing w:beforeLines="60" w:before="144" w:afterLines="60" w:after="144" w:line="240" w:lineRule="auto"/>
        <w:rPr>
          <w:rFonts w:ascii="Times New Roman" w:eastAsia="Times New Roman" w:hAnsi="Times New Roman" w:cs="Times New Roman"/>
          <w:b/>
          <w:szCs w:val="20"/>
        </w:rPr>
      </w:pPr>
    </w:p>
    <w:p w14:paraId="1E661000" w14:textId="77777777" w:rsidR="00EA1C22" w:rsidRPr="002835A8" w:rsidRDefault="00EA1C22" w:rsidP="003C1FD9">
      <w:pPr>
        <w:spacing w:beforeLines="60" w:before="144" w:afterLines="60" w:after="144" w:line="240" w:lineRule="auto"/>
        <w:jc w:val="center"/>
        <w:rPr>
          <w:rFonts w:ascii="Times New Roman" w:eastAsia="Times New Roman" w:hAnsi="Times New Roman" w:cs="Times New Roman"/>
          <w:b/>
          <w:szCs w:val="20"/>
        </w:rPr>
      </w:pPr>
      <w:r w:rsidRPr="002835A8">
        <w:rPr>
          <w:rFonts w:ascii="Times New Roman" w:eastAsia="Times New Roman" w:hAnsi="Times New Roman" w:cs="Times New Roman"/>
          <w:b/>
          <w:szCs w:val="20"/>
        </w:rPr>
        <w:t>CZĘŚĆ INDYWIDUALNA</w:t>
      </w:r>
    </w:p>
    <w:p w14:paraId="4C80978E" w14:textId="77777777" w:rsidR="00EA1C22" w:rsidRPr="002835A8" w:rsidRDefault="00EA1C22" w:rsidP="00EA1C22">
      <w:pPr>
        <w:spacing w:beforeLines="60" w:before="144" w:afterLines="60" w:after="144" w:line="240" w:lineRule="auto"/>
        <w:rPr>
          <w:rFonts w:ascii="Times New Roman" w:eastAsia="Times New Roman" w:hAnsi="Times New Roman" w:cs="Times New Roman"/>
          <w:b/>
          <w:szCs w:val="20"/>
        </w:rPr>
      </w:pPr>
    </w:p>
    <w:tbl>
      <w:tblPr>
        <w:tblStyle w:val="Tabela-Siatka111"/>
        <w:tblW w:w="9611" w:type="dxa"/>
        <w:tblInd w:w="-289" w:type="dxa"/>
        <w:tblLook w:val="04A0" w:firstRow="1" w:lastRow="0" w:firstColumn="1" w:lastColumn="0" w:noHBand="0" w:noVBand="1"/>
      </w:tblPr>
      <w:tblGrid>
        <w:gridCol w:w="3360"/>
        <w:gridCol w:w="3069"/>
        <w:gridCol w:w="3182"/>
      </w:tblGrid>
      <w:tr w:rsidR="00EA1C22" w:rsidRPr="002835A8" w14:paraId="44D91366" w14:textId="77777777" w:rsidTr="000F440E">
        <w:tc>
          <w:tcPr>
            <w:tcW w:w="3360" w:type="dxa"/>
            <w:tcBorders>
              <w:bottom w:val="single" w:sz="4" w:space="0" w:color="auto"/>
            </w:tcBorders>
            <w:shd w:val="clear" w:color="auto" w:fill="F2F2F2"/>
          </w:tcPr>
          <w:p w14:paraId="7C430E54" w14:textId="77777777" w:rsidR="00EA1C22" w:rsidRPr="002835A8" w:rsidRDefault="00EA1C22" w:rsidP="00EA1C22">
            <w:pPr>
              <w:spacing w:beforeLines="60" w:before="144" w:afterLines="60" w:after="144"/>
              <w:jc w:val="both"/>
              <w:rPr>
                <w:sz w:val="22"/>
              </w:rPr>
            </w:pPr>
            <w:r w:rsidRPr="002835A8">
              <w:rPr>
                <w:sz w:val="22"/>
              </w:rPr>
              <w:t>Cena lokalu mieszkalnego albo domu jednorodzinnego</w:t>
            </w:r>
          </w:p>
        </w:tc>
        <w:tc>
          <w:tcPr>
            <w:tcW w:w="6251" w:type="dxa"/>
            <w:gridSpan w:val="2"/>
          </w:tcPr>
          <w:p w14:paraId="3389B45D" w14:textId="25147F1E" w:rsidR="00EA1C22" w:rsidRPr="000909AD" w:rsidRDefault="000909AD" w:rsidP="00D7064C">
            <w:pPr>
              <w:spacing w:beforeLines="60" w:before="144" w:afterLines="60" w:after="144"/>
              <w:jc w:val="both"/>
              <w:rPr>
                <w:bCs/>
                <w:sz w:val="22"/>
              </w:rPr>
            </w:pPr>
            <w:r w:rsidRPr="000909AD">
              <w:rPr>
                <w:bCs/>
                <w:sz w:val="22"/>
              </w:rPr>
              <w:t>……………..</w:t>
            </w:r>
          </w:p>
        </w:tc>
      </w:tr>
      <w:tr w:rsidR="00EA1C22" w:rsidRPr="002835A8" w14:paraId="729A78C1" w14:textId="77777777" w:rsidTr="000F440E">
        <w:tc>
          <w:tcPr>
            <w:tcW w:w="3360" w:type="dxa"/>
            <w:tcBorders>
              <w:bottom w:val="single" w:sz="4" w:space="0" w:color="auto"/>
            </w:tcBorders>
            <w:shd w:val="clear" w:color="auto" w:fill="F2F2F2"/>
          </w:tcPr>
          <w:p w14:paraId="56CA120F" w14:textId="77777777" w:rsidR="00EA1C22" w:rsidRPr="002835A8" w:rsidRDefault="00EA1C22" w:rsidP="00EA1C22">
            <w:pPr>
              <w:spacing w:beforeLines="60" w:before="144" w:afterLines="60" w:after="144"/>
              <w:jc w:val="both"/>
              <w:rPr>
                <w:sz w:val="22"/>
              </w:rPr>
            </w:pPr>
            <w:r w:rsidRPr="002835A8">
              <w:rPr>
                <w:sz w:val="22"/>
              </w:rPr>
              <w:t>Powierzchnia użytkowa lokalu mieszkalnego albo domu jednorodzinnego</w:t>
            </w:r>
          </w:p>
        </w:tc>
        <w:tc>
          <w:tcPr>
            <w:tcW w:w="6251" w:type="dxa"/>
            <w:gridSpan w:val="2"/>
          </w:tcPr>
          <w:p w14:paraId="2123B9C5" w14:textId="06791B89" w:rsidR="007B557D" w:rsidRPr="000909AD" w:rsidRDefault="000909AD" w:rsidP="00057148">
            <w:pPr>
              <w:spacing w:beforeLines="60" w:before="144" w:afterLines="60" w:after="144"/>
              <w:jc w:val="both"/>
              <w:rPr>
                <w:bCs/>
                <w:iCs/>
                <w:sz w:val="22"/>
              </w:rPr>
            </w:pPr>
            <w:r>
              <w:rPr>
                <w:bCs/>
                <w:iCs/>
                <w:sz w:val="22"/>
              </w:rPr>
              <w:t>…………….</w:t>
            </w:r>
          </w:p>
        </w:tc>
      </w:tr>
      <w:tr w:rsidR="00EA1C22" w:rsidRPr="002835A8" w14:paraId="47DEA6AE" w14:textId="77777777" w:rsidTr="000F440E">
        <w:tc>
          <w:tcPr>
            <w:tcW w:w="3360" w:type="dxa"/>
            <w:tcBorders>
              <w:bottom w:val="single" w:sz="4" w:space="0" w:color="auto"/>
            </w:tcBorders>
            <w:shd w:val="clear" w:color="auto" w:fill="F2F2F2"/>
          </w:tcPr>
          <w:p w14:paraId="2B177B2D" w14:textId="77777777" w:rsidR="00EA1C22" w:rsidRPr="002835A8" w:rsidRDefault="00EA1C22" w:rsidP="00EA1C22">
            <w:pPr>
              <w:spacing w:beforeLines="60" w:before="144" w:afterLines="60" w:after="144"/>
              <w:jc w:val="both"/>
              <w:rPr>
                <w:sz w:val="22"/>
              </w:rPr>
            </w:pPr>
            <w:r w:rsidRPr="002835A8">
              <w:rPr>
                <w:sz w:val="22"/>
              </w:rPr>
              <w:t>Cena m</w:t>
            </w:r>
            <w:r w:rsidRPr="002835A8">
              <w:rPr>
                <w:sz w:val="22"/>
                <w:vertAlign w:val="superscript"/>
              </w:rPr>
              <w:t>2</w:t>
            </w:r>
            <w:r w:rsidRPr="002835A8">
              <w:rPr>
                <w:sz w:val="22"/>
              </w:rPr>
              <w:t xml:space="preserve"> powierzchni użytkowej lokalu mieszkalnego albo domu jednorodzinnego</w:t>
            </w:r>
          </w:p>
        </w:tc>
        <w:tc>
          <w:tcPr>
            <w:tcW w:w="6251" w:type="dxa"/>
            <w:gridSpan w:val="2"/>
          </w:tcPr>
          <w:p w14:paraId="3EDD38F3" w14:textId="2EADDA0C" w:rsidR="00FF2A27" w:rsidRPr="000909AD" w:rsidRDefault="000909AD" w:rsidP="00FF2A27">
            <w:pPr>
              <w:spacing w:beforeLines="60" w:before="144" w:afterLines="60" w:after="144"/>
              <w:rPr>
                <w:bCs/>
                <w:iCs/>
                <w:sz w:val="22"/>
              </w:rPr>
            </w:pPr>
            <w:r>
              <w:rPr>
                <w:bCs/>
                <w:iCs/>
                <w:sz w:val="22"/>
              </w:rPr>
              <w:t>…………………….</w:t>
            </w:r>
          </w:p>
        </w:tc>
      </w:tr>
      <w:tr w:rsidR="00EA1C22" w:rsidRPr="002835A8" w14:paraId="0D3FE4C8" w14:textId="77777777" w:rsidTr="000F440E">
        <w:tc>
          <w:tcPr>
            <w:tcW w:w="3360" w:type="dxa"/>
            <w:tcBorders>
              <w:bottom w:val="single" w:sz="4" w:space="0" w:color="auto"/>
            </w:tcBorders>
            <w:shd w:val="clear" w:color="auto" w:fill="F2F2F2"/>
          </w:tcPr>
          <w:p w14:paraId="43AD4A56" w14:textId="76F1E45C" w:rsidR="00EA1C22" w:rsidRPr="002835A8" w:rsidRDefault="00AC4921" w:rsidP="00FD125F">
            <w:pPr>
              <w:spacing w:beforeLines="60" w:before="144" w:afterLines="60" w:after="144"/>
              <w:jc w:val="both"/>
              <w:rPr>
                <w:sz w:val="22"/>
              </w:rPr>
            </w:pPr>
            <w:r w:rsidRPr="002835A8">
              <w:rPr>
                <w:sz w:val="22"/>
              </w:rPr>
              <w:t>Termin, do którego nastąpi przeniesienie prawa własności nieruchomości wynikającego z umowy deweloperskiej lub jednej z umów, o których mowa w art. 2 ust. 1 pkt 2, 3 lub 5 lub ust. 2 ustawy z dnia 20 maja 2021 r. o ochronie praw nabywcy lokalu mieszkalnego lub domu jednorodzinnego oraz Deweloperskim Funduszu Gwarancyjnym</w:t>
            </w:r>
          </w:p>
        </w:tc>
        <w:tc>
          <w:tcPr>
            <w:tcW w:w="6251" w:type="dxa"/>
            <w:gridSpan w:val="2"/>
          </w:tcPr>
          <w:p w14:paraId="6A099903" w14:textId="28CC23D9" w:rsidR="00EA1C22" w:rsidRPr="00863C2B" w:rsidRDefault="00863C2B" w:rsidP="007A1F22">
            <w:pPr>
              <w:spacing w:beforeLines="60" w:before="144" w:afterLines="60" w:after="144"/>
              <w:rPr>
                <w:b/>
                <w:bCs/>
                <w:sz w:val="22"/>
              </w:rPr>
            </w:pPr>
            <w:r>
              <w:rPr>
                <w:sz w:val="22"/>
              </w:rPr>
              <w:t xml:space="preserve"> </w:t>
            </w:r>
            <w:r w:rsidR="007F5326">
              <w:rPr>
                <w:color w:val="FF0000"/>
                <w:sz w:val="22"/>
              </w:rPr>
              <w:t>31.12.2026 r</w:t>
            </w:r>
          </w:p>
        </w:tc>
      </w:tr>
      <w:tr w:rsidR="00EA1C22" w:rsidRPr="002835A8" w14:paraId="26027C2D" w14:textId="77777777" w:rsidTr="000F440E">
        <w:tc>
          <w:tcPr>
            <w:tcW w:w="3360" w:type="dxa"/>
            <w:tcBorders>
              <w:bottom w:val="nil"/>
            </w:tcBorders>
            <w:shd w:val="clear" w:color="auto" w:fill="F2F2F2"/>
          </w:tcPr>
          <w:p w14:paraId="67387437" w14:textId="2908F255" w:rsidR="00EA1C22" w:rsidRPr="002835A8" w:rsidRDefault="00AC4921" w:rsidP="00EA1C22">
            <w:pPr>
              <w:spacing w:beforeLines="60" w:before="144" w:afterLines="60" w:after="144"/>
              <w:jc w:val="both"/>
              <w:rPr>
                <w:sz w:val="22"/>
              </w:rPr>
            </w:pPr>
            <w:r w:rsidRPr="002835A8">
              <w:rPr>
                <w:sz w:val="22"/>
              </w:rPr>
              <w:t xml:space="preserve">Określenie położenia oraz istotnych cech domu jednorodzinnego albo budynku, w którym ma znajdować się lokal mieszkalny będący przedmiotem umowy rezerwacyjnej albo umowy deweloperskiej lub jednej z umów, o których mowa w art. 2 ust. 1 pkt 2, 3 lub 5 lub ust. 2 ustawy z dnia 20 maja 2021 r. o ochronie praw nabywcy lokalu </w:t>
            </w:r>
            <w:r w:rsidRPr="002835A8">
              <w:rPr>
                <w:sz w:val="22"/>
              </w:rPr>
              <w:lastRenderedPageBreak/>
              <w:t>mieszkalnego lub domu jednorodzinnego oraz Deweloperskim Funduszu Gwarancyjnym</w:t>
            </w:r>
          </w:p>
        </w:tc>
        <w:tc>
          <w:tcPr>
            <w:tcW w:w="3069" w:type="dxa"/>
            <w:vMerge w:val="restart"/>
          </w:tcPr>
          <w:p w14:paraId="7BCF5E95" w14:textId="77777777" w:rsidR="00EA1C22" w:rsidRPr="002835A8" w:rsidRDefault="00EA1C22" w:rsidP="00EA1C22">
            <w:pPr>
              <w:spacing w:beforeLines="60" w:before="144" w:afterLines="60" w:after="144"/>
              <w:rPr>
                <w:sz w:val="22"/>
              </w:rPr>
            </w:pPr>
            <w:r w:rsidRPr="002835A8">
              <w:rPr>
                <w:sz w:val="22"/>
              </w:rPr>
              <w:lastRenderedPageBreak/>
              <w:t>Liczba kondygnacji</w:t>
            </w:r>
          </w:p>
        </w:tc>
        <w:tc>
          <w:tcPr>
            <w:tcW w:w="3182" w:type="dxa"/>
            <w:vMerge w:val="restart"/>
          </w:tcPr>
          <w:p w14:paraId="5D6C7CF4" w14:textId="54B4146A" w:rsidR="00EA1C22" w:rsidRPr="00863C2B" w:rsidRDefault="00863C2B" w:rsidP="003C1FD9">
            <w:pPr>
              <w:spacing w:beforeLines="60" w:before="144" w:afterLines="60" w:after="144"/>
              <w:rPr>
                <w:bCs/>
                <w:sz w:val="22"/>
              </w:rPr>
            </w:pPr>
            <w:r w:rsidRPr="00863C2B">
              <w:rPr>
                <w:bCs/>
                <w:sz w:val="22"/>
              </w:rPr>
              <w:t xml:space="preserve">Część A </w:t>
            </w:r>
            <w:r>
              <w:rPr>
                <w:bCs/>
                <w:sz w:val="22"/>
              </w:rPr>
              <w:t xml:space="preserve"> - 4 kondygnacje, Część B – 5 kondygnacji</w:t>
            </w:r>
          </w:p>
        </w:tc>
      </w:tr>
      <w:tr w:rsidR="00EA1C22" w:rsidRPr="002835A8" w14:paraId="32A27629" w14:textId="77777777" w:rsidTr="000F440E">
        <w:trPr>
          <w:trHeight w:val="60"/>
        </w:trPr>
        <w:tc>
          <w:tcPr>
            <w:tcW w:w="3360" w:type="dxa"/>
            <w:tcBorders>
              <w:top w:val="nil"/>
              <w:bottom w:val="nil"/>
            </w:tcBorders>
            <w:shd w:val="clear" w:color="auto" w:fill="F2F2F2"/>
          </w:tcPr>
          <w:p w14:paraId="48629487" w14:textId="77777777" w:rsidR="00EA1C22" w:rsidRPr="002835A8" w:rsidRDefault="00EA1C22" w:rsidP="00EA1C22">
            <w:pPr>
              <w:spacing w:beforeLines="60" w:before="144" w:afterLines="60" w:after="144"/>
              <w:rPr>
                <w:b/>
                <w:sz w:val="22"/>
              </w:rPr>
            </w:pPr>
          </w:p>
        </w:tc>
        <w:tc>
          <w:tcPr>
            <w:tcW w:w="3069" w:type="dxa"/>
            <w:vMerge/>
          </w:tcPr>
          <w:p w14:paraId="08E8D224" w14:textId="77777777" w:rsidR="00EA1C22" w:rsidRPr="002835A8" w:rsidRDefault="00EA1C22" w:rsidP="00EA1C22">
            <w:pPr>
              <w:spacing w:beforeLines="60" w:before="144" w:afterLines="60" w:after="144"/>
              <w:rPr>
                <w:sz w:val="22"/>
              </w:rPr>
            </w:pPr>
          </w:p>
        </w:tc>
        <w:tc>
          <w:tcPr>
            <w:tcW w:w="3182" w:type="dxa"/>
            <w:vMerge/>
          </w:tcPr>
          <w:p w14:paraId="66D27369" w14:textId="77777777" w:rsidR="00EA1C22" w:rsidRPr="002835A8" w:rsidRDefault="00EA1C22" w:rsidP="00EA1C22">
            <w:pPr>
              <w:spacing w:beforeLines="60" w:before="144" w:afterLines="60" w:after="144"/>
              <w:rPr>
                <w:b/>
                <w:sz w:val="22"/>
              </w:rPr>
            </w:pPr>
          </w:p>
        </w:tc>
      </w:tr>
      <w:tr w:rsidR="00EA1C22" w:rsidRPr="002835A8" w14:paraId="3AE6486A" w14:textId="77777777" w:rsidTr="000F440E">
        <w:tc>
          <w:tcPr>
            <w:tcW w:w="3360" w:type="dxa"/>
            <w:tcBorders>
              <w:top w:val="nil"/>
              <w:bottom w:val="single" w:sz="4" w:space="0" w:color="auto"/>
            </w:tcBorders>
            <w:shd w:val="clear" w:color="auto" w:fill="F2F2F2"/>
          </w:tcPr>
          <w:p w14:paraId="1D9BD5C5" w14:textId="77777777" w:rsidR="00EA1C22" w:rsidRPr="002835A8" w:rsidRDefault="00EA1C22" w:rsidP="00EA1C22">
            <w:pPr>
              <w:spacing w:beforeLines="60" w:before="144" w:afterLines="60" w:after="144"/>
              <w:rPr>
                <w:b/>
                <w:sz w:val="22"/>
              </w:rPr>
            </w:pPr>
          </w:p>
        </w:tc>
        <w:tc>
          <w:tcPr>
            <w:tcW w:w="3069" w:type="dxa"/>
          </w:tcPr>
          <w:p w14:paraId="7E6495FE" w14:textId="77777777" w:rsidR="00EA1C22" w:rsidRPr="002835A8" w:rsidRDefault="00EA1C22" w:rsidP="00EA1C22">
            <w:pPr>
              <w:spacing w:beforeLines="60" w:before="144" w:afterLines="60" w:after="144"/>
              <w:rPr>
                <w:sz w:val="22"/>
              </w:rPr>
            </w:pPr>
            <w:r w:rsidRPr="002835A8">
              <w:rPr>
                <w:sz w:val="22"/>
              </w:rPr>
              <w:t xml:space="preserve">Technologia wykonania </w:t>
            </w:r>
          </w:p>
        </w:tc>
        <w:tc>
          <w:tcPr>
            <w:tcW w:w="3182" w:type="dxa"/>
          </w:tcPr>
          <w:p w14:paraId="21B7767D" w14:textId="77777777" w:rsidR="00D255A9" w:rsidRDefault="00D255A9" w:rsidP="00D255A9">
            <w:pPr>
              <w:jc w:val="both"/>
              <w:rPr>
                <w:color w:val="000000" w:themeColor="text1"/>
                <w:sz w:val="18"/>
              </w:rPr>
            </w:pPr>
            <w:r>
              <w:rPr>
                <w:color w:val="000000" w:themeColor="text1"/>
                <w:sz w:val="18"/>
              </w:rPr>
              <w:t>Konstrukcja nośna hali garażowej wykonana będzie w technologii żelbetowej – stropy, słupy oraz ściany oporowe .</w:t>
            </w:r>
          </w:p>
          <w:p w14:paraId="16495B93" w14:textId="77777777" w:rsidR="00D255A9" w:rsidRDefault="00D255A9" w:rsidP="00D255A9">
            <w:pPr>
              <w:jc w:val="both"/>
              <w:rPr>
                <w:color w:val="000000" w:themeColor="text1"/>
                <w:sz w:val="18"/>
              </w:rPr>
            </w:pPr>
            <w:r>
              <w:rPr>
                <w:color w:val="000000" w:themeColor="text1"/>
                <w:sz w:val="18"/>
              </w:rPr>
              <w:t>Ściany nośne budynków wykonane będą z pustaków silikatowych grubości18 cm i  24 cm ocieplone warstwą styropianu.</w:t>
            </w:r>
          </w:p>
          <w:p w14:paraId="174AD8CB" w14:textId="77777777" w:rsidR="00D255A9" w:rsidRDefault="00D255A9" w:rsidP="00D255A9">
            <w:pPr>
              <w:jc w:val="both"/>
              <w:rPr>
                <w:color w:val="000000" w:themeColor="text1"/>
                <w:sz w:val="18"/>
              </w:rPr>
            </w:pPr>
            <w:r>
              <w:rPr>
                <w:color w:val="000000" w:themeColor="text1"/>
                <w:sz w:val="18"/>
              </w:rPr>
              <w:t>Ściany działowe budynków wykonane będą z betonu komórkowego.</w:t>
            </w:r>
          </w:p>
          <w:p w14:paraId="73DB30A6" w14:textId="2D6B94AD" w:rsidR="00EA1C22" w:rsidRPr="002835A8" w:rsidRDefault="00D255A9" w:rsidP="00D255A9">
            <w:pPr>
              <w:spacing w:beforeLines="60" w:before="144" w:afterLines="60" w:after="144"/>
              <w:jc w:val="both"/>
              <w:rPr>
                <w:b/>
                <w:sz w:val="22"/>
              </w:rPr>
            </w:pPr>
            <w:r>
              <w:rPr>
                <w:color w:val="000000" w:themeColor="text1"/>
                <w:sz w:val="18"/>
              </w:rPr>
              <w:t>Stropy oraz stropodach wykonany będzie w technologii żelbetowej.</w:t>
            </w:r>
          </w:p>
        </w:tc>
      </w:tr>
      <w:tr w:rsidR="00EA1C22" w:rsidRPr="002835A8" w14:paraId="1971CB2F" w14:textId="77777777" w:rsidTr="000F440E">
        <w:tc>
          <w:tcPr>
            <w:tcW w:w="3360" w:type="dxa"/>
            <w:tcBorders>
              <w:top w:val="single" w:sz="4" w:space="0" w:color="auto"/>
              <w:bottom w:val="nil"/>
            </w:tcBorders>
            <w:shd w:val="clear" w:color="auto" w:fill="F2F2F2"/>
          </w:tcPr>
          <w:p w14:paraId="2F74EAF1" w14:textId="77777777" w:rsidR="00EA1C22" w:rsidRPr="002835A8" w:rsidRDefault="00EA1C22" w:rsidP="00EA1C22">
            <w:pPr>
              <w:spacing w:beforeLines="60" w:before="144" w:afterLines="60" w:after="144"/>
              <w:rPr>
                <w:b/>
                <w:sz w:val="22"/>
              </w:rPr>
            </w:pPr>
          </w:p>
        </w:tc>
        <w:tc>
          <w:tcPr>
            <w:tcW w:w="3069" w:type="dxa"/>
          </w:tcPr>
          <w:p w14:paraId="3365F0A0" w14:textId="77777777" w:rsidR="00EA1C22" w:rsidRPr="002835A8" w:rsidRDefault="00EA1C22" w:rsidP="00EA1C22">
            <w:pPr>
              <w:spacing w:beforeLines="60" w:before="144" w:afterLines="60" w:after="144"/>
              <w:rPr>
                <w:sz w:val="22"/>
              </w:rPr>
            </w:pPr>
            <w:r w:rsidRPr="002835A8">
              <w:rPr>
                <w:sz w:val="22"/>
              </w:rPr>
              <w:t>Standard prac wykończeniowych w części wspólnej budynku i terenie wokół niego, stanowiącym część wspólną nieruchomości</w:t>
            </w:r>
          </w:p>
        </w:tc>
        <w:tc>
          <w:tcPr>
            <w:tcW w:w="3182" w:type="dxa"/>
          </w:tcPr>
          <w:p w14:paraId="153A1BD5" w14:textId="77777777" w:rsidR="00FB73BB" w:rsidRDefault="00FB73BB" w:rsidP="00FB73BB">
            <w:pPr>
              <w:pStyle w:val="TableParagraph"/>
              <w:rPr>
                <w:sz w:val="18"/>
              </w:rPr>
            </w:pPr>
            <w:r>
              <w:rPr>
                <w:sz w:val="18"/>
              </w:rPr>
              <w:t xml:space="preserve">Częściami wspólnymi budynków są klatki schodowe i piwniczna. Na klatkach schodowych wykonane zostaną tynki, gładzie wraz z pomalowaniem ścian i sufitów. Na podłodze położone zostaną płytki </w:t>
            </w:r>
            <w:proofErr w:type="spellStart"/>
            <w:r>
              <w:rPr>
                <w:sz w:val="18"/>
              </w:rPr>
              <w:t>gresowe</w:t>
            </w:r>
            <w:proofErr w:type="spellEnd"/>
            <w:r>
              <w:rPr>
                <w:sz w:val="18"/>
              </w:rPr>
              <w:t>. Wykonane zostaną również parapety z konglomeratu marmurowego oraz zamontowane zostaną barierki ochronne wraz z pochwytami.</w:t>
            </w:r>
          </w:p>
          <w:p w14:paraId="714A89CD" w14:textId="77777777" w:rsidR="00FB73BB" w:rsidRDefault="00FB73BB" w:rsidP="00FB73BB">
            <w:pPr>
              <w:pStyle w:val="TableParagraph"/>
              <w:rPr>
                <w:sz w:val="18"/>
              </w:rPr>
            </w:pPr>
            <w:r>
              <w:rPr>
                <w:sz w:val="18"/>
              </w:rPr>
              <w:t xml:space="preserve">Na schodach ułożone będą płytki </w:t>
            </w:r>
            <w:proofErr w:type="spellStart"/>
            <w:r>
              <w:rPr>
                <w:sz w:val="18"/>
              </w:rPr>
              <w:t>gresowe</w:t>
            </w:r>
            <w:proofErr w:type="spellEnd"/>
            <w:r>
              <w:rPr>
                <w:sz w:val="18"/>
              </w:rPr>
              <w:t>.</w:t>
            </w:r>
          </w:p>
          <w:p w14:paraId="53956BFE" w14:textId="77777777" w:rsidR="00FB73BB" w:rsidRDefault="00FB73BB" w:rsidP="00FB73BB">
            <w:pPr>
              <w:pStyle w:val="TableParagraph"/>
              <w:rPr>
                <w:sz w:val="18"/>
              </w:rPr>
            </w:pPr>
            <w:r>
              <w:rPr>
                <w:sz w:val="18"/>
              </w:rPr>
              <w:t>Na zewnątrz budynku wykonane zostaną drogi oraz chodniki z kostki brukowej. Posiana zostanie trawa ,oraz wykonany zostanie plac zabaw.</w:t>
            </w:r>
          </w:p>
          <w:p w14:paraId="68CCF221" w14:textId="265CC61E" w:rsidR="00EA1C22" w:rsidRPr="002835A8" w:rsidRDefault="00FB73BB" w:rsidP="00FB73BB">
            <w:pPr>
              <w:spacing w:beforeLines="60" w:before="144" w:afterLines="60" w:after="144"/>
              <w:jc w:val="both"/>
              <w:rPr>
                <w:b/>
                <w:sz w:val="22"/>
              </w:rPr>
            </w:pPr>
            <w:r>
              <w:rPr>
                <w:sz w:val="18"/>
              </w:rPr>
              <w:t>Budynek zostanie ogrodzony płotem, brama automatyczna. Wjazd do hali garażowej od ul. Kościuszki</w:t>
            </w:r>
          </w:p>
        </w:tc>
      </w:tr>
      <w:tr w:rsidR="00EA1C22" w:rsidRPr="002835A8" w14:paraId="0BE1D0F1" w14:textId="77777777" w:rsidTr="000F440E">
        <w:tc>
          <w:tcPr>
            <w:tcW w:w="3360" w:type="dxa"/>
            <w:tcBorders>
              <w:top w:val="nil"/>
              <w:bottom w:val="nil"/>
            </w:tcBorders>
            <w:shd w:val="clear" w:color="auto" w:fill="F2F2F2"/>
          </w:tcPr>
          <w:p w14:paraId="3D8C92D4" w14:textId="77777777" w:rsidR="00EA1C22" w:rsidRPr="002835A8" w:rsidRDefault="00EA1C22" w:rsidP="00EA1C22">
            <w:pPr>
              <w:spacing w:beforeLines="60" w:before="144" w:afterLines="60" w:after="144"/>
              <w:rPr>
                <w:b/>
                <w:sz w:val="22"/>
              </w:rPr>
            </w:pPr>
          </w:p>
        </w:tc>
        <w:tc>
          <w:tcPr>
            <w:tcW w:w="3069" w:type="dxa"/>
          </w:tcPr>
          <w:p w14:paraId="54E9B72A" w14:textId="77777777" w:rsidR="00EA1C22" w:rsidRPr="002835A8" w:rsidRDefault="00EA1C22" w:rsidP="00EA1C22">
            <w:pPr>
              <w:spacing w:beforeLines="60" w:before="144" w:afterLines="60" w:after="144"/>
              <w:rPr>
                <w:sz w:val="22"/>
              </w:rPr>
            </w:pPr>
            <w:r w:rsidRPr="002835A8">
              <w:rPr>
                <w:sz w:val="22"/>
              </w:rPr>
              <w:t>Liczba lokali w budynku</w:t>
            </w:r>
          </w:p>
        </w:tc>
        <w:tc>
          <w:tcPr>
            <w:tcW w:w="3182" w:type="dxa"/>
          </w:tcPr>
          <w:p w14:paraId="2524B288" w14:textId="05D27388" w:rsidR="00EA1C22" w:rsidRPr="00C01E22" w:rsidRDefault="00C01E22" w:rsidP="003C1FD9">
            <w:pPr>
              <w:spacing w:beforeLines="60" w:before="144" w:afterLines="60" w:after="144"/>
              <w:jc w:val="both"/>
              <w:rPr>
                <w:bCs/>
                <w:sz w:val="22"/>
              </w:rPr>
            </w:pPr>
            <w:r w:rsidRPr="00C01E22">
              <w:rPr>
                <w:bCs/>
                <w:sz w:val="22"/>
              </w:rPr>
              <w:t xml:space="preserve">35 </w:t>
            </w:r>
          </w:p>
        </w:tc>
      </w:tr>
      <w:tr w:rsidR="00EA1C22" w:rsidRPr="002835A8" w14:paraId="621E92F3" w14:textId="77777777" w:rsidTr="000F440E">
        <w:tc>
          <w:tcPr>
            <w:tcW w:w="3360" w:type="dxa"/>
            <w:tcBorders>
              <w:top w:val="nil"/>
              <w:bottom w:val="nil"/>
            </w:tcBorders>
            <w:shd w:val="clear" w:color="auto" w:fill="F2F2F2"/>
          </w:tcPr>
          <w:p w14:paraId="7119769A" w14:textId="77777777" w:rsidR="00EA1C22" w:rsidRPr="002835A8" w:rsidRDefault="00EA1C22" w:rsidP="00EA1C22">
            <w:pPr>
              <w:spacing w:beforeLines="60" w:before="144" w:afterLines="60" w:after="144"/>
              <w:rPr>
                <w:b/>
                <w:sz w:val="22"/>
              </w:rPr>
            </w:pPr>
          </w:p>
        </w:tc>
        <w:tc>
          <w:tcPr>
            <w:tcW w:w="3069" w:type="dxa"/>
          </w:tcPr>
          <w:p w14:paraId="78E7F5F7" w14:textId="77777777" w:rsidR="00EA1C22" w:rsidRPr="002835A8" w:rsidRDefault="00EA1C22" w:rsidP="00EA1C22">
            <w:pPr>
              <w:spacing w:beforeLines="60" w:before="144" w:afterLines="60" w:after="144"/>
              <w:rPr>
                <w:sz w:val="22"/>
              </w:rPr>
            </w:pPr>
            <w:r w:rsidRPr="002835A8">
              <w:rPr>
                <w:sz w:val="22"/>
              </w:rPr>
              <w:t>Liczba miejsc garażowych i postojowych</w:t>
            </w:r>
          </w:p>
        </w:tc>
        <w:tc>
          <w:tcPr>
            <w:tcW w:w="3182" w:type="dxa"/>
          </w:tcPr>
          <w:p w14:paraId="75D40707" w14:textId="1B3FAB6D" w:rsidR="00EA1C22" w:rsidRPr="00C01E22" w:rsidRDefault="00C01E22" w:rsidP="003C1FD9">
            <w:pPr>
              <w:spacing w:beforeLines="60" w:before="144" w:afterLines="60" w:after="144"/>
              <w:jc w:val="both"/>
              <w:rPr>
                <w:bCs/>
                <w:sz w:val="22"/>
              </w:rPr>
            </w:pPr>
            <w:r w:rsidRPr="00C01E22">
              <w:rPr>
                <w:bCs/>
                <w:sz w:val="22"/>
              </w:rPr>
              <w:t>24 garażowe, 2 postojowe</w:t>
            </w:r>
          </w:p>
        </w:tc>
      </w:tr>
      <w:tr w:rsidR="00EA1C22" w:rsidRPr="002835A8" w14:paraId="24D28338" w14:textId="77777777" w:rsidTr="000F440E">
        <w:tc>
          <w:tcPr>
            <w:tcW w:w="3360" w:type="dxa"/>
            <w:tcBorders>
              <w:top w:val="nil"/>
              <w:bottom w:val="nil"/>
            </w:tcBorders>
            <w:shd w:val="clear" w:color="auto" w:fill="F2F2F2"/>
          </w:tcPr>
          <w:p w14:paraId="49F85469" w14:textId="77777777" w:rsidR="00EA1C22" w:rsidRPr="002835A8" w:rsidRDefault="00EA1C22" w:rsidP="00EA1C22">
            <w:pPr>
              <w:spacing w:beforeLines="60" w:before="144" w:afterLines="60" w:after="144"/>
              <w:rPr>
                <w:b/>
                <w:sz w:val="22"/>
              </w:rPr>
            </w:pPr>
          </w:p>
        </w:tc>
        <w:tc>
          <w:tcPr>
            <w:tcW w:w="3069" w:type="dxa"/>
          </w:tcPr>
          <w:p w14:paraId="56CB1BB5" w14:textId="77777777" w:rsidR="00EA1C22" w:rsidRPr="002835A8" w:rsidRDefault="00EA1C22" w:rsidP="003C1FD9">
            <w:pPr>
              <w:spacing w:beforeLines="60" w:before="144" w:afterLines="60" w:after="144"/>
              <w:jc w:val="both"/>
              <w:rPr>
                <w:sz w:val="22"/>
              </w:rPr>
            </w:pPr>
            <w:r w:rsidRPr="002835A8">
              <w:rPr>
                <w:sz w:val="22"/>
              </w:rPr>
              <w:t>Dostępne media w budynku</w:t>
            </w:r>
          </w:p>
        </w:tc>
        <w:tc>
          <w:tcPr>
            <w:tcW w:w="3182" w:type="dxa"/>
          </w:tcPr>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39"/>
            </w:tblGrid>
            <w:tr w:rsidR="00FD7A0B" w:rsidRPr="00164A62" w14:paraId="3236F3B8" w14:textId="77777777" w:rsidTr="00C74046">
              <w:trPr>
                <w:trHeight w:val="1268"/>
              </w:trPr>
              <w:tc>
                <w:tcPr>
                  <w:tcW w:w="3167" w:type="dxa"/>
                </w:tcPr>
                <w:p w14:paraId="4509C59C" w14:textId="77777777" w:rsidR="00FD7A0B" w:rsidRPr="007F5326" w:rsidRDefault="00FD7A0B" w:rsidP="00FD7A0B">
                  <w:pPr>
                    <w:jc w:val="both"/>
                    <w:rPr>
                      <w:sz w:val="18"/>
                      <w:lang w:val="pl-PL"/>
                    </w:rPr>
                  </w:pPr>
                  <w:r w:rsidRPr="007F5326">
                    <w:rPr>
                      <w:sz w:val="18"/>
                      <w:lang w:val="pl-PL"/>
                    </w:rPr>
                    <w:t>- instalacja zimnej i ciepłej wody</w:t>
                  </w:r>
                </w:p>
                <w:p w14:paraId="22EEDC99" w14:textId="77777777" w:rsidR="00FD7A0B" w:rsidRPr="007F5326" w:rsidRDefault="00FD7A0B" w:rsidP="00FD7A0B">
                  <w:pPr>
                    <w:jc w:val="both"/>
                    <w:rPr>
                      <w:sz w:val="18"/>
                      <w:lang w:val="pl-PL"/>
                    </w:rPr>
                  </w:pPr>
                  <w:r w:rsidRPr="007F5326">
                    <w:rPr>
                      <w:sz w:val="18"/>
                      <w:lang w:val="pl-PL"/>
                    </w:rPr>
                    <w:t>- instalacja centralnego ogrzewania</w:t>
                  </w:r>
                </w:p>
                <w:p w14:paraId="409194C7" w14:textId="77777777" w:rsidR="00FD7A0B" w:rsidRPr="007F5326" w:rsidRDefault="00FD7A0B" w:rsidP="00FD7A0B">
                  <w:pPr>
                    <w:jc w:val="both"/>
                    <w:rPr>
                      <w:sz w:val="18"/>
                      <w:lang w:val="pl-PL"/>
                    </w:rPr>
                  </w:pPr>
                  <w:r w:rsidRPr="007F5326">
                    <w:rPr>
                      <w:sz w:val="18"/>
                      <w:lang w:val="pl-PL"/>
                    </w:rPr>
                    <w:t>- instalacja kanalizacji sanitarnej</w:t>
                  </w:r>
                </w:p>
                <w:p w14:paraId="2C055CCD" w14:textId="77777777" w:rsidR="00FD7A0B" w:rsidRPr="007F5326" w:rsidRDefault="00FD7A0B" w:rsidP="00FD7A0B">
                  <w:pPr>
                    <w:jc w:val="both"/>
                    <w:rPr>
                      <w:sz w:val="18"/>
                      <w:lang w:val="pl-PL"/>
                    </w:rPr>
                  </w:pPr>
                  <w:r w:rsidRPr="007F5326">
                    <w:rPr>
                      <w:sz w:val="18"/>
                      <w:lang w:val="pl-PL"/>
                    </w:rPr>
                    <w:t>- instalacja wentylacji grawitacyjnej</w:t>
                  </w:r>
                </w:p>
                <w:p w14:paraId="64C5FB63" w14:textId="77777777" w:rsidR="00FD7A0B" w:rsidRPr="007F5326" w:rsidRDefault="00FD7A0B" w:rsidP="00FD7A0B">
                  <w:pPr>
                    <w:jc w:val="both"/>
                    <w:rPr>
                      <w:sz w:val="18"/>
                      <w:lang w:val="pl-PL"/>
                    </w:rPr>
                  </w:pPr>
                  <w:r w:rsidRPr="007F5326">
                    <w:rPr>
                      <w:sz w:val="18"/>
                      <w:lang w:val="pl-PL"/>
                    </w:rPr>
                    <w:t>- instalacja kanalizacji deszczowej</w:t>
                  </w:r>
                </w:p>
                <w:p w14:paraId="1A49F9C8" w14:textId="77777777" w:rsidR="00FD7A0B" w:rsidRPr="007F5326" w:rsidRDefault="00FD7A0B" w:rsidP="00FD7A0B">
                  <w:pPr>
                    <w:jc w:val="both"/>
                    <w:rPr>
                      <w:sz w:val="18"/>
                      <w:lang w:val="pl-PL"/>
                    </w:rPr>
                  </w:pPr>
                  <w:r w:rsidRPr="007F5326">
                    <w:rPr>
                      <w:sz w:val="18"/>
                      <w:lang w:val="pl-PL"/>
                    </w:rPr>
                    <w:t>- instalacja elektryczna (instalacje odbiorcze oświetlenia i gniazd wtyczkowych, w tym instalacja trójfazowa do kuchenek elektrycznych) bez osprzętu końcowego</w:t>
                  </w:r>
                </w:p>
                <w:p w14:paraId="230027F4" w14:textId="2ED3C8B4" w:rsidR="00FD7A0B" w:rsidRPr="007F5326" w:rsidRDefault="00FD7A0B" w:rsidP="00FD7A0B">
                  <w:pPr>
                    <w:jc w:val="both"/>
                    <w:rPr>
                      <w:sz w:val="18"/>
                      <w:lang w:val="pl-PL"/>
                    </w:rPr>
                  </w:pPr>
                  <w:r w:rsidRPr="007F5326">
                    <w:rPr>
                      <w:sz w:val="18"/>
                      <w:lang w:val="pl-PL"/>
                    </w:rPr>
                    <w:t>- instalacja</w:t>
                  </w:r>
                  <w:r w:rsidR="00255C85">
                    <w:rPr>
                      <w:sz w:val="18"/>
                      <w:lang w:val="pl-PL"/>
                    </w:rPr>
                    <w:t xml:space="preserve"> </w:t>
                  </w:r>
                  <w:r w:rsidRPr="007F5326">
                    <w:rPr>
                      <w:sz w:val="18"/>
                      <w:lang w:val="pl-PL"/>
                    </w:rPr>
                    <w:t xml:space="preserve">teletechniczna - </w:t>
                  </w:r>
                  <w:proofErr w:type="spellStart"/>
                  <w:r w:rsidRPr="007F5326">
                    <w:rPr>
                      <w:sz w:val="18"/>
                      <w:lang w:val="pl-PL"/>
                    </w:rPr>
                    <w:t>multiswitchowa</w:t>
                  </w:r>
                  <w:proofErr w:type="spellEnd"/>
                  <w:r w:rsidRPr="007F5326">
                    <w:rPr>
                      <w:sz w:val="18"/>
                      <w:lang w:val="pl-PL"/>
                    </w:rPr>
                    <w:t>,</w:t>
                  </w:r>
                </w:p>
                <w:p w14:paraId="58097B41" w14:textId="77777777" w:rsidR="00FD7A0B" w:rsidRPr="007F5326" w:rsidRDefault="00FD7A0B" w:rsidP="00FD7A0B">
                  <w:pPr>
                    <w:jc w:val="both"/>
                    <w:rPr>
                      <w:sz w:val="18"/>
                      <w:lang w:val="pl-PL"/>
                    </w:rPr>
                  </w:pPr>
                  <w:r w:rsidRPr="007F5326">
                    <w:rPr>
                      <w:sz w:val="18"/>
                      <w:lang w:val="pl-PL"/>
                    </w:rPr>
                    <w:t xml:space="preserve">internetowa, światłowodowa (bez montażu gniazd światłowodowych w </w:t>
                  </w:r>
                  <w:r w:rsidRPr="007F5326">
                    <w:rPr>
                      <w:sz w:val="18"/>
                      <w:lang w:val="pl-PL"/>
                    </w:rPr>
                    <w:lastRenderedPageBreak/>
                    <w:t>mieszkaniach )</w:t>
                  </w:r>
                </w:p>
                <w:p w14:paraId="7ECA4E9E" w14:textId="77777777" w:rsidR="00FD7A0B" w:rsidRPr="007F5326" w:rsidRDefault="00FD7A0B" w:rsidP="00FD7A0B">
                  <w:pPr>
                    <w:jc w:val="both"/>
                    <w:rPr>
                      <w:sz w:val="18"/>
                      <w:lang w:val="pl-PL"/>
                    </w:rPr>
                  </w:pPr>
                  <w:r w:rsidRPr="007F5326">
                    <w:rPr>
                      <w:sz w:val="18"/>
                      <w:lang w:val="pl-PL"/>
                    </w:rPr>
                    <w:t>domofonowa, RTV/SAT bez osprzętu końcowego</w:t>
                  </w:r>
                </w:p>
              </w:tc>
            </w:tr>
          </w:tbl>
          <w:p w14:paraId="48F2C73E" w14:textId="3BE8BB2F" w:rsidR="00EA1C22" w:rsidRPr="002835A8" w:rsidRDefault="00EA1C22" w:rsidP="003C1FD9">
            <w:pPr>
              <w:spacing w:beforeLines="60" w:before="144" w:afterLines="60" w:after="144"/>
              <w:jc w:val="both"/>
              <w:rPr>
                <w:b/>
                <w:sz w:val="22"/>
              </w:rPr>
            </w:pPr>
          </w:p>
        </w:tc>
      </w:tr>
      <w:tr w:rsidR="00EA1C22" w:rsidRPr="002835A8" w14:paraId="098E9569" w14:textId="77777777" w:rsidTr="000F440E">
        <w:tc>
          <w:tcPr>
            <w:tcW w:w="3360" w:type="dxa"/>
            <w:tcBorders>
              <w:top w:val="nil"/>
              <w:bottom w:val="single" w:sz="4" w:space="0" w:color="auto"/>
            </w:tcBorders>
            <w:shd w:val="clear" w:color="auto" w:fill="F2F2F2"/>
          </w:tcPr>
          <w:p w14:paraId="3B00D230" w14:textId="77777777" w:rsidR="00EA1C22" w:rsidRPr="002835A8" w:rsidRDefault="00EA1C22" w:rsidP="00EA1C22">
            <w:pPr>
              <w:spacing w:beforeLines="60" w:before="144" w:afterLines="60" w:after="144"/>
              <w:rPr>
                <w:b/>
                <w:sz w:val="22"/>
              </w:rPr>
            </w:pPr>
          </w:p>
        </w:tc>
        <w:tc>
          <w:tcPr>
            <w:tcW w:w="3069" w:type="dxa"/>
          </w:tcPr>
          <w:p w14:paraId="298C42EC" w14:textId="77777777" w:rsidR="00EA1C22" w:rsidRPr="002835A8" w:rsidRDefault="00EA1C22" w:rsidP="00EA1C22">
            <w:pPr>
              <w:spacing w:beforeLines="60" w:before="144" w:afterLines="60" w:after="144"/>
              <w:rPr>
                <w:sz w:val="22"/>
              </w:rPr>
            </w:pPr>
            <w:r w:rsidRPr="002835A8">
              <w:rPr>
                <w:sz w:val="22"/>
              </w:rPr>
              <w:t>Dostęp do drogi publicznej</w:t>
            </w:r>
          </w:p>
        </w:tc>
        <w:tc>
          <w:tcPr>
            <w:tcW w:w="3182" w:type="dxa"/>
          </w:tcPr>
          <w:p w14:paraId="04F01627" w14:textId="44AAA0B0" w:rsidR="00252BFA" w:rsidRPr="007713CC" w:rsidRDefault="00D058D1" w:rsidP="001A7072">
            <w:pPr>
              <w:spacing w:beforeLines="60" w:before="144" w:afterLines="60" w:after="144"/>
              <w:jc w:val="both"/>
              <w:rPr>
                <w:sz w:val="22"/>
              </w:rPr>
            </w:pPr>
            <w:r>
              <w:rPr>
                <w:sz w:val="18"/>
                <w:szCs w:val="18"/>
              </w:rPr>
              <w:t>Przedmiotowa nieruchomość posiada bezpośredni dostęp do drogi publicznej ul. Kościuszki</w:t>
            </w:r>
          </w:p>
        </w:tc>
      </w:tr>
      <w:tr w:rsidR="00EA1C22" w:rsidRPr="002835A8" w14:paraId="164B03A9" w14:textId="77777777" w:rsidTr="000F440E">
        <w:tc>
          <w:tcPr>
            <w:tcW w:w="3360" w:type="dxa"/>
            <w:tcBorders>
              <w:top w:val="single" w:sz="4" w:space="0" w:color="auto"/>
              <w:bottom w:val="single" w:sz="4" w:space="0" w:color="auto"/>
            </w:tcBorders>
            <w:shd w:val="clear" w:color="auto" w:fill="F2F2F2"/>
          </w:tcPr>
          <w:p w14:paraId="3E069C4F" w14:textId="77777777" w:rsidR="00EA1C22" w:rsidRPr="002835A8" w:rsidRDefault="00EA1C22" w:rsidP="00EA1C22">
            <w:pPr>
              <w:spacing w:beforeLines="60" w:before="144" w:afterLines="60" w:after="144"/>
              <w:jc w:val="both"/>
              <w:rPr>
                <w:sz w:val="22"/>
              </w:rPr>
            </w:pPr>
            <w:r w:rsidRPr="002835A8">
              <w:rPr>
                <w:sz w:val="22"/>
              </w:rPr>
              <w:t>Określenie usytuowania lokalu mieszkalnego w budynku, jeżeli przedsięwzięcie deweloperskie albo zadanie inwestycyjne dotyczy lokali mieszkalnych</w:t>
            </w:r>
          </w:p>
        </w:tc>
        <w:tc>
          <w:tcPr>
            <w:tcW w:w="6251" w:type="dxa"/>
            <w:gridSpan w:val="2"/>
          </w:tcPr>
          <w:p w14:paraId="390787F5" w14:textId="77777777" w:rsidR="0071383C" w:rsidRPr="00DE78EA" w:rsidRDefault="0071383C" w:rsidP="0071383C">
            <w:pPr>
              <w:shd w:val="clear" w:color="auto" w:fill="FFFFFF"/>
              <w:spacing w:before="30" w:line="270" w:lineRule="exact"/>
              <w:jc w:val="both"/>
              <w:rPr>
                <w:rFonts w:ascii="Arial" w:hAnsi="Arial" w:cs="Arial"/>
                <w:sz w:val="18"/>
                <w:szCs w:val="18"/>
              </w:rPr>
            </w:pPr>
            <w:r w:rsidRPr="00DE78EA">
              <w:rPr>
                <w:rFonts w:ascii="Arial" w:hAnsi="Arial" w:cs="Arial"/>
                <w:sz w:val="18"/>
                <w:szCs w:val="18"/>
              </w:rPr>
              <w:t>Lokal mieszkalny o numerze projektowym</w:t>
            </w:r>
            <w:r>
              <w:rPr>
                <w:rFonts w:ascii="Arial" w:hAnsi="Arial" w:cs="Arial"/>
                <w:sz w:val="18"/>
                <w:szCs w:val="18"/>
              </w:rPr>
              <w:t>…..</w:t>
            </w:r>
            <w:r w:rsidRPr="00DE78EA">
              <w:rPr>
                <w:rFonts w:ascii="Arial" w:hAnsi="Arial" w:cs="Arial"/>
                <w:sz w:val="18"/>
                <w:szCs w:val="18"/>
              </w:rPr>
              <w:t xml:space="preserve"> usytuowany na</w:t>
            </w:r>
            <w:r>
              <w:rPr>
                <w:rFonts w:ascii="Arial" w:hAnsi="Arial" w:cs="Arial"/>
                <w:sz w:val="18"/>
                <w:szCs w:val="18"/>
              </w:rPr>
              <w:t>….</w:t>
            </w:r>
            <w:r w:rsidRPr="00DE78EA">
              <w:rPr>
                <w:rFonts w:ascii="Arial" w:hAnsi="Arial" w:cs="Arial"/>
                <w:sz w:val="18"/>
                <w:szCs w:val="18"/>
              </w:rPr>
              <w:t xml:space="preserve"> parterze/...piętrze</w:t>
            </w:r>
            <w:r>
              <w:rPr>
                <w:rFonts w:ascii="Arial" w:hAnsi="Arial" w:cs="Arial"/>
                <w:sz w:val="18"/>
                <w:szCs w:val="18"/>
              </w:rPr>
              <w:t xml:space="preserve"> (k</w:t>
            </w:r>
            <w:r w:rsidRPr="00DE78EA">
              <w:rPr>
                <w:rFonts w:ascii="Arial" w:hAnsi="Arial" w:cs="Arial"/>
                <w:sz w:val="18"/>
                <w:szCs w:val="18"/>
              </w:rPr>
              <w:t xml:space="preserve">ondygnacji). </w:t>
            </w:r>
          </w:p>
          <w:p w14:paraId="1EA76143" w14:textId="70F7A31C" w:rsidR="00EA1C22" w:rsidRPr="007B557D" w:rsidRDefault="0071383C" w:rsidP="0071383C">
            <w:pPr>
              <w:spacing w:beforeLines="60" w:before="144" w:afterLines="60" w:after="144"/>
              <w:jc w:val="both"/>
              <w:rPr>
                <w:b/>
                <w:sz w:val="22"/>
              </w:rPr>
            </w:pPr>
            <w:r w:rsidRPr="00DE78EA">
              <w:rPr>
                <w:rFonts w:ascii="Arial" w:hAnsi="Arial" w:cs="Arial"/>
                <w:sz w:val="18"/>
                <w:szCs w:val="18"/>
              </w:rPr>
              <w:t xml:space="preserve">Wskazanie usytuowania lokalu i pomieszczeń przynależnych określa załącznik numer </w:t>
            </w:r>
            <w:r>
              <w:rPr>
                <w:rFonts w:ascii="Arial" w:hAnsi="Arial" w:cs="Arial"/>
                <w:sz w:val="18"/>
                <w:szCs w:val="18"/>
              </w:rPr>
              <w:t>….</w:t>
            </w:r>
            <w:r w:rsidRPr="00DE78EA">
              <w:rPr>
                <w:rFonts w:ascii="Arial" w:hAnsi="Arial" w:cs="Arial"/>
                <w:sz w:val="18"/>
                <w:szCs w:val="18"/>
              </w:rPr>
              <w:t xml:space="preserve"> do niniejszego prospektu.</w:t>
            </w:r>
          </w:p>
        </w:tc>
      </w:tr>
      <w:tr w:rsidR="00EA1C22" w:rsidRPr="002835A8" w14:paraId="6507619B" w14:textId="77777777" w:rsidTr="000F440E">
        <w:tc>
          <w:tcPr>
            <w:tcW w:w="3360" w:type="dxa"/>
            <w:tcBorders>
              <w:top w:val="single" w:sz="4" w:space="0" w:color="auto"/>
              <w:bottom w:val="single" w:sz="4" w:space="0" w:color="auto"/>
            </w:tcBorders>
            <w:shd w:val="clear" w:color="auto" w:fill="F2F2F2"/>
          </w:tcPr>
          <w:p w14:paraId="56D82656" w14:textId="77777777" w:rsidR="00EA1C22" w:rsidRPr="002835A8" w:rsidRDefault="00EA1C22" w:rsidP="00EA1C22">
            <w:pPr>
              <w:spacing w:beforeLines="60" w:before="144" w:afterLines="60" w:after="144"/>
              <w:jc w:val="both"/>
              <w:rPr>
                <w:sz w:val="22"/>
              </w:rPr>
            </w:pPr>
            <w:r w:rsidRPr="002835A8">
              <w:rPr>
                <w:sz w:val="22"/>
              </w:rPr>
              <w:t>Określenie powierzchni użytkowej</w:t>
            </w:r>
            <w:r w:rsidR="00920895" w:rsidRPr="002835A8">
              <w:rPr>
                <w:sz w:val="22"/>
              </w:rPr>
              <w:t xml:space="preserve"> </w:t>
            </w:r>
            <w:r w:rsidRPr="002835A8">
              <w:rPr>
                <w:sz w:val="22"/>
              </w:rPr>
              <w:t>i układu pomieszczeń oraz zakresu i standardu prac wykończeniowych, do których wykonania zobowiązuje się deweloper</w:t>
            </w:r>
          </w:p>
        </w:tc>
        <w:tc>
          <w:tcPr>
            <w:tcW w:w="6251" w:type="dxa"/>
            <w:gridSpan w:val="2"/>
          </w:tcPr>
          <w:p w14:paraId="160194F3"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Układ pomieszczeń i powierzchnie.</w:t>
            </w:r>
          </w:p>
          <w:p w14:paraId="55BBF0F7"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 xml:space="preserve">Mieszkanie… </w:t>
            </w:r>
            <w:proofErr w:type="spellStart"/>
            <w:r w:rsidRPr="00690E46">
              <w:rPr>
                <w:rFonts w:ascii="Arial" w:hAnsi="Arial" w:cs="Arial"/>
                <w:sz w:val="18"/>
                <w:szCs w:val="18"/>
              </w:rPr>
              <w:t>pow</w:t>
            </w:r>
            <w:proofErr w:type="spellEnd"/>
            <w:r w:rsidRPr="00690E46">
              <w:rPr>
                <w:rFonts w:ascii="Arial" w:hAnsi="Arial" w:cs="Arial"/>
                <w:sz w:val="18"/>
                <w:szCs w:val="18"/>
              </w:rPr>
              <w:t>…… m</w:t>
            </w:r>
            <w:r w:rsidRPr="00690E46">
              <w:rPr>
                <w:rFonts w:ascii="Arial" w:hAnsi="Arial" w:cs="Arial"/>
                <w:sz w:val="18"/>
                <w:szCs w:val="18"/>
                <w:vertAlign w:val="superscript"/>
              </w:rPr>
              <w:t>2</w:t>
            </w:r>
            <w:r w:rsidRPr="00690E46">
              <w:rPr>
                <w:rFonts w:ascii="Arial" w:hAnsi="Arial" w:cs="Arial"/>
                <w:sz w:val="18"/>
                <w:szCs w:val="18"/>
              </w:rPr>
              <w:t xml:space="preserve"> , przedpokój -… m</w:t>
            </w:r>
            <w:r w:rsidRPr="00690E46">
              <w:rPr>
                <w:rFonts w:ascii="Arial" w:hAnsi="Arial" w:cs="Arial"/>
                <w:sz w:val="18"/>
                <w:szCs w:val="18"/>
                <w:vertAlign w:val="superscript"/>
              </w:rPr>
              <w:t>2</w:t>
            </w:r>
            <w:r w:rsidRPr="00690E46">
              <w:rPr>
                <w:rFonts w:ascii="Arial" w:hAnsi="Arial" w:cs="Arial"/>
                <w:sz w:val="18"/>
                <w:szCs w:val="18"/>
              </w:rPr>
              <w:t>, łazienka –…. m</w:t>
            </w:r>
            <w:r w:rsidRPr="00690E46">
              <w:rPr>
                <w:rFonts w:ascii="Arial" w:hAnsi="Arial" w:cs="Arial"/>
                <w:sz w:val="18"/>
                <w:szCs w:val="18"/>
                <w:vertAlign w:val="superscript"/>
              </w:rPr>
              <w:t>2</w:t>
            </w:r>
            <w:r w:rsidRPr="00690E46">
              <w:rPr>
                <w:rFonts w:ascii="Arial" w:hAnsi="Arial" w:cs="Arial"/>
                <w:sz w:val="18"/>
                <w:szCs w:val="18"/>
              </w:rPr>
              <w:t>, pokój dzienny z aneksem kuchennym –…m</w:t>
            </w:r>
            <w:r w:rsidRPr="00690E46">
              <w:rPr>
                <w:rFonts w:ascii="Arial" w:hAnsi="Arial" w:cs="Arial"/>
                <w:sz w:val="18"/>
                <w:szCs w:val="18"/>
                <w:vertAlign w:val="superscript"/>
              </w:rPr>
              <w:t>2</w:t>
            </w:r>
            <w:r w:rsidRPr="00690E46">
              <w:rPr>
                <w:rFonts w:ascii="Arial" w:hAnsi="Arial" w:cs="Arial"/>
                <w:sz w:val="18"/>
                <w:szCs w:val="18"/>
              </w:rPr>
              <w:t>, pokój –…..m</w:t>
            </w:r>
            <w:r w:rsidRPr="00690E46">
              <w:rPr>
                <w:rFonts w:ascii="Arial" w:hAnsi="Arial" w:cs="Arial"/>
                <w:sz w:val="18"/>
                <w:szCs w:val="18"/>
                <w:vertAlign w:val="superscript"/>
              </w:rPr>
              <w:t>2</w:t>
            </w:r>
          </w:p>
          <w:p w14:paraId="26180C09"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Określenie usytuowania pomieszczeń w lokalu określa rzut lokalu stanowiący załącznik nr ….do niniejszego prospektu.</w:t>
            </w:r>
          </w:p>
          <w:p w14:paraId="03927E67"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 xml:space="preserve">Standard prac wykończeniowych, do których zobowiązuje się deweloper: </w:t>
            </w:r>
          </w:p>
          <w:p w14:paraId="2607F3AF"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 xml:space="preserve">ŚCIANY I SUFITY: </w:t>
            </w:r>
          </w:p>
          <w:p w14:paraId="1A1C583E" w14:textId="77777777" w:rsidR="000E2F0D" w:rsidRPr="00690E46" w:rsidRDefault="000E2F0D" w:rsidP="000E2F0D">
            <w:pPr>
              <w:pStyle w:val="Akapitzlist"/>
              <w:widowControl/>
              <w:numPr>
                <w:ilvl w:val="0"/>
                <w:numId w:val="14"/>
              </w:numPr>
              <w:shd w:val="clear" w:color="auto" w:fill="FFFFFF"/>
              <w:autoSpaceDE/>
              <w:autoSpaceDN/>
              <w:adjustRightInd/>
              <w:spacing w:before="30" w:line="270" w:lineRule="exact"/>
              <w:contextualSpacing w:val="0"/>
              <w:jc w:val="both"/>
              <w:rPr>
                <w:rFonts w:ascii="Arial" w:hAnsi="Arial"/>
                <w:sz w:val="18"/>
                <w:szCs w:val="18"/>
              </w:rPr>
            </w:pPr>
            <w:r w:rsidRPr="00690E46">
              <w:rPr>
                <w:rFonts w:ascii="Arial" w:hAnsi="Arial"/>
                <w:sz w:val="18"/>
                <w:szCs w:val="18"/>
              </w:rPr>
              <w:t xml:space="preserve">tynk gipsowy bez gładzi – z wyłączeniem ścianek działowych z </w:t>
            </w:r>
            <w:proofErr w:type="spellStart"/>
            <w:r w:rsidRPr="00690E46">
              <w:rPr>
                <w:rFonts w:ascii="Arial" w:hAnsi="Arial"/>
                <w:sz w:val="18"/>
                <w:szCs w:val="18"/>
              </w:rPr>
              <w:t>gk</w:t>
            </w:r>
            <w:proofErr w:type="spellEnd"/>
            <w:r w:rsidRPr="00690E46">
              <w:rPr>
                <w:rFonts w:ascii="Arial" w:hAnsi="Arial"/>
                <w:sz w:val="18"/>
                <w:szCs w:val="18"/>
              </w:rPr>
              <w:t xml:space="preserve"> oraz sufitów w garażach </w:t>
            </w:r>
          </w:p>
          <w:p w14:paraId="4C7209EE"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 xml:space="preserve">POSADZKI: </w:t>
            </w:r>
          </w:p>
          <w:p w14:paraId="4DF3CD45" w14:textId="77777777" w:rsidR="000E2F0D" w:rsidRPr="00690E46" w:rsidRDefault="000E2F0D" w:rsidP="000E2F0D">
            <w:pPr>
              <w:pStyle w:val="Akapitzlist"/>
              <w:widowControl/>
              <w:numPr>
                <w:ilvl w:val="0"/>
                <w:numId w:val="14"/>
              </w:numPr>
              <w:shd w:val="clear" w:color="auto" w:fill="FFFFFF"/>
              <w:autoSpaceDE/>
              <w:autoSpaceDN/>
              <w:adjustRightInd/>
              <w:spacing w:before="30" w:line="270" w:lineRule="exact"/>
              <w:contextualSpacing w:val="0"/>
              <w:jc w:val="both"/>
              <w:rPr>
                <w:rFonts w:ascii="Arial" w:hAnsi="Arial"/>
                <w:sz w:val="18"/>
                <w:szCs w:val="18"/>
              </w:rPr>
            </w:pPr>
            <w:r w:rsidRPr="00690E46">
              <w:rPr>
                <w:rFonts w:ascii="Arial" w:hAnsi="Arial"/>
                <w:sz w:val="18"/>
                <w:szCs w:val="18"/>
              </w:rPr>
              <w:t>cementowe.</w:t>
            </w:r>
          </w:p>
          <w:p w14:paraId="1D16B9CB"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 xml:space="preserve">DRZWI WEJŚCIOWE DO MIESZKAŃ: </w:t>
            </w:r>
          </w:p>
          <w:p w14:paraId="0BE25F8A"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pełne, antywłamaniowe;</w:t>
            </w:r>
          </w:p>
          <w:p w14:paraId="0677ECDB"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DRZWI WEWNĘTRZNE:</w:t>
            </w:r>
          </w:p>
          <w:p w14:paraId="41C6381E"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Brak - otwory przygotowane do montażu ościeżnic i drzwi;</w:t>
            </w:r>
          </w:p>
          <w:p w14:paraId="6C63B754"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OKNA I DRZWI BALKONOWE:</w:t>
            </w:r>
          </w:p>
          <w:p w14:paraId="487D08F3"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 xml:space="preserve">PCV rozwierano/uchylne </w:t>
            </w:r>
          </w:p>
          <w:p w14:paraId="7FCD40CB"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PARAPETY:</w:t>
            </w:r>
          </w:p>
          <w:p w14:paraId="003BA8E1"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wewnętrzne z konglomeratu;</w:t>
            </w:r>
          </w:p>
          <w:p w14:paraId="0BCA8068"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zewnętrzne z blachy malowanej w kolorze stolarki;</w:t>
            </w:r>
          </w:p>
          <w:p w14:paraId="72ACBFE4"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INSTALACJA  CENTRALNEGO OGRZEWANIA:</w:t>
            </w:r>
          </w:p>
          <w:p w14:paraId="684A7930"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 xml:space="preserve">zasilanie w ciepło ze wspólnej kotłowni zlokalizowanej z poziomu piwnicy </w:t>
            </w:r>
          </w:p>
          <w:p w14:paraId="0C182299"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ogrzewanie grzejnikowe w pozostałych pomieszczeniach lokalu mieszkalnego;</w:t>
            </w:r>
          </w:p>
          <w:p w14:paraId="14F3FA3D"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INSTALACJA WODNA:</w:t>
            </w:r>
          </w:p>
          <w:p w14:paraId="6ED3A18B"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podejścia wody do przyborów i urządzeń z zaworami;</w:t>
            </w:r>
          </w:p>
          <w:p w14:paraId="47E931DB"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instalacja wodna wykonana z rur wielowarstwowych;</w:t>
            </w:r>
          </w:p>
          <w:p w14:paraId="582A68D0"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indywidualne wodomierze zimnej wody zlokalizowane w szafach na korytarzach.</w:t>
            </w:r>
          </w:p>
          <w:p w14:paraId="6E03CDA0"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INSTALACJA KANALIZACYJNA:</w:t>
            </w:r>
          </w:p>
          <w:p w14:paraId="22F459B4"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lastRenderedPageBreak/>
              <w:t xml:space="preserve">piony i podejścia z rur i kształtek typu PVC, </w:t>
            </w:r>
          </w:p>
          <w:p w14:paraId="13221B7F"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piony kanalizacyjne zakończone (zaślepione) trójnikami.</w:t>
            </w:r>
          </w:p>
          <w:p w14:paraId="1E858718"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INSTALACJA WENTYLACYJNA:</w:t>
            </w:r>
          </w:p>
          <w:p w14:paraId="039C60CA"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wentylacja grawitacyjna;</w:t>
            </w:r>
          </w:p>
          <w:p w14:paraId="2139DA49"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INSTALACJA ELEKTRYCZNA:</w:t>
            </w:r>
          </w:p>
          <w:p w14:paraId="4377DF23"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bdr w:val="none" w:sz="0" w:space="0" w:color="auto" w:frame="1"/>
              </w:rPr>
              <w:t xml:space="preserve">instalacje odbiorcze oświetlenia i gniazd wtyczkowych (w tym instalacja trójfazowa do kuchenek elektrycznych), </w:t>
            </w:r>
            <w:r w:rsidRPr="00690E46">
              <w:rPr>
                <w:rFonts w:ascii="Arial" w:hAnsi="Arial" w:cs="Arial"/>
                <w:sz w:val="18"/>
                <w:szCs w:val="18"/>
              </w:rPr>
              <w:t>bez osprzętu końcowego;</w:t>
            </w:r>
          </w:p>
          <w:p w14:paraId="68B81987"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INSTALACJE TELETECHNICZNE:</w:t>
            </w:r>
          </w:p>
          <w:p w14:paraId="79B84BBF" w14:textId="77777777" w:rsidR="000E2F0D" w:rsidRPr="00690E46" w:rsidRDefault="000E2F0D" w:rsidP="000E2F0D">
            <w:pPr>
              <w:pStyle w:val="xmsolistparagraph"/>
              <w:numPr>
                <w:ilvl w:val="0"/>
                <w:numId w:val="13"/>
              </w:numPr>
              <w:shd w:val="clear" w:color="auto" w:fill="FFFFFF"/>
              <w:spacing w:before="30" w:beforeAutospacing="0" w:after="0" w:afterAutospacing="0" w:line="270" w:lineRule="exact"/>
              <w:jc w:val="both"/>
              <w:rPr>
                <w:rFonts w:ascii="Arial" w:hAnsi="Arial" w:cs="Arial"/>
                <w:sz w:val="18"/>
                <w:szCs w:val="18"/>
              </w:rPr>
            </w:pPr>
            <w:r w:rsidRPr="00690E46">
              <w:rPr>
                <w:rFonts w:ascii="Arial" w:hAnsi="Arial" w:cs="Arial"/>
                <w:sz w:val="18"/>
                <w:szCs w:val="18"/>
                <w:bdr w:val="none" w:sz="0" w:space="0" w:color="auto" w:frame="1"/>
              </w:rPr>
              <w:t xml:space="preserve">instalacja </w:t>
            </w:r>
            <w:proofErr w:type="spellStart"/>
            <w:r w:rsidRPr="00690E46">
              <w:rPr>
                <w:rFonts w:ascii="Arial" w:hAnsi="Arial" w:cs="Arial"/>
                <w:sz w:val="18"/>
                <w:szCs w:val="18"/>
                <w:bdr w:val="none" w:sz="0" w:space="0" w:color="auto" w:frame="1"/>
              </w:rPr>
              <w:t>multiswitchowa</w:t>
            </w:r>
            <w:proofErr w:type="spellEnd"/>
            <w:r w:rsidRPr="00690E46">
              <w:rPr>
                <w:rFonts w:ascii="Arial" w:hAnsi="Arial" w:cs="Arial"/>
                <w:sz w:val="18"/>
                <w:szCs w:val="18"/>
                <w:bdr w:val="none" w:sz="0" w:space="0" w:color="auto" w:frame="1"/>
              </w:rPr>
              <w:t>, Internetowa, światłowodowa (bez montażu gniazd światłowodowych w mieszkaniach)</w:t>
            </w:r>
            <w:r>
              <w:rPr>
                <w:rFonts w:ascii="Arial" w:hAnsi="Arial" w:cs="Arial"/>
                <w:sz w:val="18"/>
                <w:szCs w:val="18"/>
                <w:bdr w:val="none" w:sz="0" w:space="0" w:color="auto" w:frame="1"/>
              </w:rPr>
              <w:t xml:space="preserve"> </w:t>
            </w:r>
            <w:r w:rsidRPr="00690E46">
              <w:rPr>
                <w:rFonts w:ascii="Arial" w:hAnsi="Arial" w:cs="Arial"/>
                <w:sz w:val="18"/>
                <w:szCs w:val="18"/>
                <w:bdr w:val="none" w:sz="0" w:space="0" w:color="auto" w:frame="1"/>
              </w:rPr>
              <w:t>,  domofonowa; RTV/SAT bez osprzętu końcowego;</w:t>
            </w:r>
          </w:p>
          <w:p w14:paraId="2E3EDA52" w14:textId="77777777" w:rsidR="000E2F0D" w:rsidRPr="00690E46" w:rsidRDefault="000E2F0D" w:rsidP="000E2F0D">
            <w:pPr>
              <w:shd w:val="clear" w:color="auto" w:fill="FFFFFF"/>
              <w:spacing w:before="30" w:line="270" w:lineRule="exact"/>
              <w:jc w:val="both"/>
              <w:rPr>
                <w:rFonts w:ascii="Arial" w:hAnsi="Arial" w:cs="Arial"/>
                <w:sz w:val="18"/>
                <w:szCs w:val="18"/>
              </w:rPr>
            </w:pPr>
            <w:r w:rsidRPr="00690E46">
              <w:rPr>
                <w:rFonts w:ascii="Arial" w:hAnsi="Arial" w:cs="Arial"/>
                <w:sz w:val="18"/>
                <w:szCs w:val="18"/>
              </w:rPr>
              <w:t>BALKONY:</w:t>
            </w:r>
          </w:p>
          <w:p w14:paraId="3C4A400D" w14:textId="77777777" w:rsidR="000E2F0D" w:rsidRPr="00690E46" w:rsidRDefault="000E2F0D" w:rsidP="000E2F0D">
            <w:pPr>
              <w:numPr>
                <w:ilvl w:val="0"/>
                <w:numId w:val="13"/>
              </w:numPr>
              <w:shd w:val="clear" w:color="auto" w:fill="FFFFFF"/>
              <w:suppressAutoHyphens/>
              <w:spacing w:before="30" w:line="270" w:lineRule="exact"/>
              <w:jc w:val="both"/>
              <w:rPr>
                <w:rFonts w:ascii="Arial" w:hAnsi="Arial" w:cs="Arial"/>
                <w:sz w:val="18"/>
                <w:szCs w:val="18"/>
              </w:rPr>
            </w:pPr>
            <w:r w:rsidRPr="00690E46">
              <w:rPr>
                <w:rFonts w:ascii="Arial" w:hAnsi="Arial" w:cs="Arial"/>
                <w:sz w:val="18"/>
                <w:szCs w:val="18"/>
              </w:rPr>
              <w:t>wylewka betonowa;</w:t>
            </w:r>
          </w:p>
          <w:p w14:paraId="0787F869" w14:textId="77777777" w:rsidR="000E2F0D" w:rsidRPr="00690E46" w:rsidRDefault="000E2F0D" w:rsidP="000E2F0D">
            <w:pPr>
              <w:numPr>
                <w:ilvl w:val="0"/>
                <w:numId w:val="13"/>
              </w:numPr>
              <w:shd w:val="clear" w:color="auto" w:fill="FFFFFF"/>
              <w:suppressAutoHyphens/>
              <w:spacing w:before="30"/>
              <w:jc w:val="both"/>
              <w:rPr>
                <w:rFonts w:ascii="Arial" w:hAnsi="Arial" w:cs="Arial"/>
                <w:sz w:val="18"/>
                <w:szCs w:val="18"/>
              </w:rPr>
            </w:pPr>
            <w:r w:rsidRPr="00690E46">
              <w:rPr>
                <w:rFonts w:ascii="Arial" w:hAnsi="Arial" w:cs="Arial"/>
                <w:sz w:val="18"/>
                <w:szCs w:val="18"/>
              </w:rPr>
              <w:t>balustrady balkonów stalowe malowane;</w:t>
            </w:r>
          </w:p>
          <w:p w14:paraId="3D439712" w14:textId="538063A5" w:rsidR="00EA1C22" w:rsidRPr="002835A8" w:rsidRDefault="00EA1C22" w:rsidP="00057148">
            <w:pPr>
              <w:spacing w:beforeLines="60" w:before="144" w:afterLines="60" w:after="144"/>
              <w:jc w:val="both"/>
              <w:rPr>
                <w:b/>
                <w:sz w:val="22"/>
              </w:rPr>
            </w:pPr>
          </w:p>
        </w:tc>
      </w:tr>
      <w:tr w:rsidR="00EA1C22" w:rsidRPr="002835A8" w14:paraId="5B14E8E1" w14:textId="77777777" w:rsidTr="000F440E">
        <w:trPr>
          <w:trHeight w:val="1035"/>
        </w:trPr>
        <w:tc>
          <w:tcPr>
            <w:tcW w:w="3360" w:type="dxa"/>
            <w:tcBorders>
              <w:top w:val="single" w:sz="4" w:space="0" w:color="auto"/>
              <w:bottom w:val="single" w:sz="4" w:space="0" w:color="auto"/>
            </w:tcBorders>
            <w:shd w:val="clear" w:color="auto" w:fill="F2F2F2"/>
          </w:tcPr>
          <w:p w14:paraId="67386FDE" w14:textId="77777777" w:rsidR="00EA1C22" w:rsidRPr="002835A8" w:rsidRDefault="00EA1C22" w:rsidP="00FD125F">
            <w:pPr>
              <w:widowControl w:val="0"/>
              <w:autoSpaceDE w:val="0"/>
              <w:autoSpaceDN w:val="0"/>
              <w:adjustRightInd w:val="0"/>
              <w:spacing w:beforeLines="60" w:before="144" w:afterLines="60" w:after="144"/>
              <w:rPr>
                <w:sz w:val="22"/>
              </w:rPr>
            </w:pPr>
            <w:r w:rsidRPr="002835A8">
              <w:rPr>
                <w:sz w:val="22"/>
              </w:rPr>
              <w:lastRenderedPageBreak/>
              <w:t>Data wydania zaświadczenia o samodzielności lokalu mieszkalnego</w:t>
            </w:r>
          </w:p>
        </w:tc>
        <w:tc>
          <w:tcPr>
            <w:tcW w:w="6251" w:type="dxa"/>
            <w:gridSpan w:val="2"/>
          </w:tcPr>
          <w:p w14:paraId="7B287B73" w14:textId="55AD2AF3" w:rsidR="00EA1C22" w:rsidRPr="007F5326" w:rsidRDefault="007F5326" w:rsidP="00EA1C22">
            <w:pPr>
              <w:spacing w:beforeLines="60" w:before="144" w:afterLines="60" w:after="144"/>
              <w:rPr>
                <w:color w:val="000000" w:themeColor="text1"/>
                <w:sz w:val="22"/>
              </w:rPr>
            </w:pPr>
            <w:r w:rsidRPr="007F5326">
              <w:rPr>
                <w:color w:val="000000" w:themeColor="text1"/>
                <w:sz w:val="22"/>
              </w:rPr>
              <w:t>Przed zawarciem umowy przeniesienia własności</w:t>
            </w:r>
          </w:p>
        </w:tc>
      </w:tr>
      <w:tr w:rsidR="00EA1C22" w:rsidRPr="002835A8" w14:paraId="77F88EB6" w14:textId="77777777" w:rsidTr="000F440E">
        <w:trPr>
          <w:trHeight w:val="1050"/>
        </w:trPr>
        <w:tc>
          <w:tcPr>
            <w:tcW w:w="3360" w:type="dxa"/>
            <w:tcBorders>
              <w:top w:val="single" w:sz="4" w:space="0" w:color="auto"/>
              <w:bottom w:val="single" w:sz="4" w:space="0" w:color="auto"/>
            </w:tcBorders>
            <w:shd w:val="clear" w:color="auto" w:fill="F2F2F2"/>
          </w:tcPr>
          <w:p w14:paraId="4C36F48D" w14:textId="77777777" w:rsidR="00EA1C22" w:rsidRPr="002835A8" w:rsidRDefault="00EA1C22" w:rsidP="00FD125F">
            <w:pPr>
              <w:widowControl w:val="0"/>
              <w:autoSpaceDE w:val="0"/>
              <w:autoSpaceDN w:val="0"/>
              <w:adjustRightInd w:val="0"/>
              <w:spacing w:beforeLines="60" w:before="144" w:afterLines="60" w:after="144"/>
              <w:rPr>
                <w:sz w:val="22"/>
              </w:rPr>
            </w:pPr>
            <w:r w:rsidRPr="002835A8">
              <w:rPr>
                <w:sz w:val="22"/>
              </w:rPr>
              <w:t>Data ustanowienia odrębnej własności lokalu mieszkalnego</w:t>
            </w:r>
          </w:p>
        </w:tc>
        <w:tc>
          <w:tcPr>
            <w:tcW w:w="6251" w:type="dxa"/>
            <w:gridSpan w:val="2"/>
          </w:tcPr>
          <w:p w14:paraId="7350A5E1" w14:textId="5C586FE0" w:rsidR="00EA1C22" w:rsidRPr="007F5326" w:rsidRDefault="007F5326" w:rsidP="00EA1C22">
            <w:pPr>
              <w:spacing w:beforeLines="60" w:before="144" w:afterLines="60" w:after="144"/>
              <w:rPr>
                <w:color w:val="000000" w:themeColor="text1"/>
                <w:sz w:val="22"/>
              </w:rPr>
            </w:pPr>
            <w:r w:rsidRPr="007F5326">
              <w:rPr>
                <w:rFonts w:asciiTheme="minorHAnsi" w:hAnsiTheme="minorHAnsi" w:cstheme="minorHAnsi"/>
                <w:bCs/>
                <w:color w:val="000000" w:themeColor="text1"/>
              </w:rPr>
              <w:t>Przed zawarciem umowy przeniesienia własności</w:t>
            </w:r>
          </w:p>
        </w:tc>
      </w:tr>
      <w:tr w:rsidR="00EA1C22" w:rsidRPr="002835A8" w14:paraId="689B7319" w14:textId="77777777" w:rsidTr="000F440E">
        <w:tc>
          <w:tcPr>
            <w:tcW w:w="3360" w:type="dxa"/>
            <w:tcBorders>
              <w:top w:val="single" w:sz="4" w:space="0" w:color="auto"/>
              <w:bottom w:val="single" w:sz="4" w:space="0" w:color="auto"/>
            </w:tcBorders>
            <w:shd w:val="clear" w:color="auto" w:fill="F2F2F2"/>
          </w:tcPr>
          <w:p w14:paraId="1587E491" w14:textId="77777777" w:rsidR="00EA1C22" w:rsidRPr="002835A8" w:rsidRDefault="00EA1C22" w:rsidP="00EA1C22">
            <w:pPr>
              <w:spacing w:beforeLines="60" w:before="144" w:afterLines="60" w:after="144"/>
              <w:jc w:val="both"/>
              <w:rPr>
                <w:sz w:val="22"/>
              </w:rPr>
            </w:pPr>
            <w:r w:rsidRPr="002835A8">
              <w:rPr>
                <w:sz w:val="22"/>
              </w:rPr>
              <w:t>Informacje o lokalu użytkowym</w:t>
            </w:r>
            <w:r w:rsidR="00920895" w:rsidRPr="002835A8">
              <w:rPr>
                <w:sz w:val="22"/>
              </w:rPr>
              <w:t xml:space="preserve"> </w:t>
            </w:r>
            <w:r w:rsidRPr="002835A8">
              <w:rPr>
                <w:sz w:val="22"/>
              </w:rPr>
              <w:t>nabywanym równocześnie z lokalem mieszkalnym albo domem jednorodzinnym</w:t>
            </w:r>
          </w:p>
        </w:tc>
        <w:tc>
          <w:tcPr>
            <w:tcW w:w="6251" w:type="dxa"/>
            <w:gridSpan w:val="2"/>
          </w:tcPr>
          <w:p w14:paraId="19583950" w14:textId="037C975E" w:rsidR="00EA1C22" w:rsidRPr="00C513B4" w:rsidRDefault="00AB772C" w:rsidP="003C1FD9">
            <w:pPr>
              <w:spacing w:beforeLines="60" w:before="144" w:afterLines="60" w:after="144"/>
              <w:jc w:val="both"/>
              <w:rPr>
                <w:bCs/>
                <w:iCs/>
                <w:sz w:val="22"/>
              </w:rPr>
            </w:pPr>
            <w:r>
              <w:rPr>
                <w:bCs/>
                <w:iCs/>
                <w:sz w:val="22"/>
              </w:rPr>
              <w:t>Nie dotyczy</w:t>
            </w:r>
          </w:p>
        </w:tc>
      </w:tr>
      <w:tr w:rsidR="00EA1C22" w:rsidRPr="002835A8" w14:paraId="463CBBFF" w14:textId="77777777" w:rsidTr="000F440E">
        <w:tc>
          <w:tcPr>
            <w:tcW w:w="3360" w:type="dxa"/>
            <w:tcBorders>
              <w:top w:val="single" w:sz="4" w:space="0" w:color="auto"/>
              <w:bottom w:val="single" w:sz="4" w:space="0" w:color="auto"/>
            </w:tcBorders>
            <w:shd w:val="clear" w:color="auto" w:fill="F2F2F2"/>
          </w:tcPr>
          <w:p w14:paraId="2E9B7966" w14:textId="77777777" w:rsidR="00EA1C22" w:rsidRPr="002835A8" w:rsidRDefault="00EA1C22" w:rsidP="00EA1C22">
            <w:pPr>
              <w:spacing w:beforeLines="60" w:before="144" w:afterLines="60" w:after="144"/>
              <w:jc w:val="both"/>
              <w:rPr>
                <w:sz w:val="22"/>
              </w:rPr>
            </w:pPr>
            <w:r w:rsidRPr="002835A8">
              <w:rPr>
                <w:sz w:val="22"/>
              </w:rPr>
              <w:t>Cenę lokalu użytkowego albo</w:t>
            </w:r>
            <w:r w:rsidR="00920895" w:rsidRPr="002835A8">
              <w:rPr>
                <w:sz w:val="22"/>
              </w:rPr>
              <w:t xml:space="preserve"> </w:t>
            </w:r>
            <w:r w:rsidRPr="002835A8">
              <w:rPr>
                <w:sz w:val="22"/>
              </w:rPr>
              <w:t xml:space="preserve">ułamkowej części własności lokalu użytkowego </w:t>
            </w:r>
          </w:p>
        </w:tc>
        <w:tc>
          <w:tcPr>
            <w:tcW w:w="6251" w:type="dxa"/>
            <w:gridSpan w:val="2"/>
          </w:tcPr>
          <w:p w14:paraId="1D8D0670" w14:textId="55D57C46" w:rsidR="00EA1C22" w:rsidRPr="00C513B4" w:rsidRDefault="00AB772C" w:rsidP="00EA1C22">
            <w:pPr>
              <w:spacing w:beforeLines="60" w:before="144" w:afterLines="60" w:after="144"/>
              <w:rPr>
                <w:bCs/>
                <w:iCs/>
                <w:sz w:val="22"/>
              </w:rPr>
            </w:pPr>
            <w:r>
              <w:rPr>
                <w:bCs/>
                <w:iCs/>
                <w:sz w:val="22"/>
              </w:rPr>
              <w:t>Nie dotyczy</w:t>
            </w:r>
          </w:p>
        </w:tc>
      </w:tr>
      <w:tr w:rsidR="00EA1C22" w:rsidRPr="002835A8" w14:paraId="63DDEEAD" w14:textId="77777777" w:rsidTr="000F440E">
        <w:tc>
          <w:tcPr>
            <w:tcW w:w="3360" w:type="dxa"/>
            <w:tcBorders>
              <w:top w:val="single" w:sz="4" w:space="0" w:color="auto"/>
              <w:bottom w:val="single" w:sz="4" w:space="0" w:color="auto"/>
            </w:tcBorders>
            <w:shd w:val="clear" w:color="auto" w:fill="F2F2F2"/>
          </w:tcPr>
          <w:p w14:paraId="23050027" w14:textId="77777777" w:rsidR="00EA1C22" w:rsidRPr="00370D68" w:rsidRDefault="00EA1C22" w:rsidP="00EA1C22">
            <w:pPr>
              <w:spacing w:beforeLines="60" w:before="144" w:afterLines="60" w:after="144"/>
              <w:jc w:val="both"/>
              <w:rPr>
                <w:sz w:val="22"/>
              </w:rPr>
            </w:pPr>
            <w:r w:rsidRPr="00370D68">
              <w:rPr>
                <w:sz w:val="22"/>
              </w:rPr>
              <w:t>Termin, do którego nastąpi przeniesienie prawa własności lokalu użytkowego albo ułamkowej części własności lokalu użytkowego</w:t>
            </w:r>
          </w:p>
        </w:tc>
        <w:tc>
          <w:tcPr>
            <w:tcW w:w="6251" w:type="dxa"/>
            <w:gridSpan w:val="2"/>
          </w:tcPr>
          <w:p w14:paraId="11E39BD5" w14:textId="2C81471C" w:rsidR="00EA1C22" w:rsidRPr="00370D68" w:rsidRDefault="007F5326" w:rsidP="00370D68">
            <w:pPr>
              <w:spacing w:beforeLines="60" w:before="144" w:afterLines="60" w:after="144"/>
              <w:rPr>
                <w:sz w:val="22"/>
              </w:rPr>
            </w:pPr>
            <w:r>
              <w:rPr>
                <w:bCs/>
                <w:iCs/>
                <w:sz w:val="22"/>
              </w:rPr>
              <w:t>Nie dotyczy</w:t>
            </w:r>
          </w:p>
        </w:tc>
      </w:tr>
    </w:tbl>
    <w:p w14:paraId="381A4EF0" w14:textId="77777777" w:rsidR="00F80A03" w:rsidRPr="002835A8" w:rsidRDefault="00F80A03" w:rsidP="00EA1C22">
      <w:pPr>
        <w:spacing w:beforeLines="60" w:before="144" w:afterLines="60" w:after="144" w:line="240" w:lineRule="auto"/>
        <w:rPr>
          <w:rFonts w:ascii="Times New Roman" w:eastAsia="Times New Roman" w:hAnsi="Times New Roman" w:cs="Times New Roman"/>
          <w:b/>
          <w:szCs w:val="20"/>
        </w:rPr>
      </w:pPr>
    </w:p>
    <w:p w14:paraId="121A89A0" w14:textId="77777777" w:rsidR="00EA1C22" w:rsidRPr="002835A8" w:rsidRDefault="00EA1C22" w:rsidP="00EA1C22">
      <w:pPr>
        <w:spacing w:beforeLines="60" w:before="144" w:afterLines="60" w:after="144" w:line="240" w:lineRule="auto"/>
        <w:jc w:val="right"/>
        <w:rPr>
          <w:rFonts w:ascii="Times New Roman" w:eastAsia="Times New Roman" w:hAnsi="Times New Roman" w:cs="Times New Roman"/>
          <w:b/>
          <w:szCs w:val="20"/>
        </w:rPr>
      </w:pPr>
      <w:r w:rsidRPr="002835A8">
        <w:rPr>
          <w:rFonts w:ascii="Times New Roman" w:eastAsia="Times New Roman" w:hAnsi="Times New Roman" w:cs="Times New Roman"/>
          <w:b/>
          <w:szCs w:val="20"/>
        </w:rPr>
        <w:t>Podpis osoby upoważnionej do reprezentacji dewelopera</w:t>
      </w:r>
    </w:p>
    <w:p w14:paraId="1F1E6B1C" w14:textId="77777777" w:rsidR="00920895" w:rsidRDefault="00920895" w:rsidP="00EA1C22">
      <w:pPr>
        <w:spacing w:beforeLines="60" w:before="144" w:afterLines="60" w:after="144" w:line="240" w:lineRule="auto"/>
        <w:jc w:val="right"/>
        <w:rPr>
          <w:rFonts w:ascii="Times New Roman" w:eastAsia="Times New Roman" w:hAnsi="Times New Roman" w:cs="Times New Roman"/>
          <w:b/>
          <w:szCs w:val="20"/>
        </w:rPr>
      </w:pPr>
    </w:p>
    <w:p w14:paraId="4A8C125C" w14:textId="77777777" w:rsidR="007713CC" w:rsidRPr="002835A8" w:rsidRDefault="007713CC" w:rsidP="00EA1C22">
      <w:pPr>
        <w:spacing w:beforeLines="60" w:before="144" w:afterLines="60" w:after="144" w:line="240" w:lineRule="auto"/>
        <w:jc w:val="right"/>
        <w:rPr>
          <w:rFonts w:ascii="Times New Roman" w:eastAsia="Times New Roman" w:hAnsi="Times New Roman" w:cs="Times New Roman"/>
          <w:b/>
          <w:szCs w:val="20"/>
        </w:rPr>
      </w:pPr>
    </w:p>
    <w:p w14:paraId="6CFFDC8C" w14:textId="77777777" w:rsidR="00EA1C22" w:rsidRPr="002835A8" w:rsidRDefault="00EA1C22" w:rsidP="00EA1C22">
      <w:pPr>
        <w:spacing w:beforeLines="60" w:before="144" w:afterLines="60" w:after="144" w:line="240" w:lineRule="auto"/>
        <w:jc w:val="right"/>
        <w:rPr>
          <w:rFonts w:ascii="Times New Roman" w:eastAsia="Times New Roman" w:hAnsi="Times New Roman" w:cs="Times New Roman"/>
          <w:b/>
          <w:szCs w:val="20"/>
        </w:rPr>
      </w:pPr>
      <w:r w:rsidRPr="002835A8">
        <w:rPr>
          <w:rFonts w:ascii="Times New Roman" w:eastAsia="Times New Roman" w:hAnsi="Times New Roman" w:cs="Times New Roman"/>
          <w:b/>
          <w:szCs w:val="20"/>
        </w:rPr>
        <w:t>…...………………………………….</w:t>
      </w:r>
    </w:p>
    <w:p w14:paraId="1E6C7469"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b/>
          <w:szCs w:val="20"/>
        </w:rPr>
      </w:pPr>
    </w:p>
    <w:p w14:paraId="41BA9365"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b/>
          <w:szCs w:val="20"/>
        </w:rPr>
      </w:pPr>
      <w:r w:rsidRPr="002835A8">
        <w:rPr>
          <w:rFonts w:ascii="Times New Roman" w:eastAsia="Times New Roman" w:hAnsi="Times New Roman" w:cs="Times New Roman"/>
          <w:noProof/>
          <w:szCs w:val="20"/>
          <w:lang w:eastAsia="pl-PL"/>
        </w:rPr>
        <mc:AlternateContent>
          <mc:Choice Requires="wps">
            <w:drawing>
              <wp:anchor distT="0" distB="0" distL="114300" distR="114300" simplePos="0" relativeHeight="251658240" behindDoc="0" locked="0" layoutInCell="1" allowOverlap="1" wp14:anchorId="3720338D" wp14:editId="5F6E0DD0">
                <wp:simplePos x="0" y="0"/>
                <wp:positionH relativeFrom="column">
                  <wp:posOffset>-801321</wp:posOffset>
                </wp:positionH>
                <wp:positionV relativeFrom="paragraph">
                  <wp:posOffset>9818</wp:posOffset>
                </wp:positionV>
                <wp:extent cx="6668086" cy="0"/>
                <wp:effectExtent l="0" t="19050" r="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8086"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E4FB90"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pt,.75pt" to="461.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" strokeweight="2.25pt"/>
            </w:pict>
          </mc:Fallback>
        </mc:AlternateContent>
      </w:r>
    </w:p>
    <w:p w14:paraId="2DB56CD3"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b/>
          <w:szCs w:val="20"/>
        </w:rPr>
      </w:pPr>
      <w:r w:rsidRPr="002835A8">
        <w:rPr>
          <w:rFonts w:ascii="Times New Roman" w:eastAsia="Times New Roman" w:hAnsi="Times New Roman" w:cs="Times New Roman"/>
          <w:b/>
          <w:szCs w:val="20"/>
        </w:rPr>
        <w:t>Załączniki:</w:t>
      </w:r>
    </w:p>
    <w:p w14:paraId="241C9A0B" w14:textId="27044175"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1. Rzut kondygnacji z zaznaczeniem lokalu mieszkalnego</w:t>
      </w:r>
      <w:r w:rsidR="00D533C6">
        <w:rPr>
          <w:rFonts w:ascii="Times New Roman" w:eastAsia="Times New Roman" w:hAnsi="Times New Roman" w:cs="Times New Roman"/>
          <w:szCs w:val="20"/>
        </w:rPr>
        <w:t xml:space="preserve"> oraz rzut lokalu mieszkalnego</w:t>
      </w:r>
      <w:r w:rsidRPr="002835A8">
        <w:rPr>
          <w:rFonts w:ascii="Times New Roman" w:eastAsia="Times New Roman" w:hAnsi="Times New Roman" w:cs="Times New Roman"/>
          <w:szCs w:val="20"/>
        </w:rPr>
        <w:t>.</w:t>
      </w:r>
    </w:p>
    <w:p w14:paraId="784E6518" w14:textId="2BB9DE12" w:rsidR="00EA1C22" w:rsidRPr="002835A8"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2. </w:t>
      </w:r>
      <w:r w:rsidR="00AC4921" w:rsidRPr="002835A8">
        <w:rPr>
          <w:rFonts w:ascii="Times New Roman" w:eastAsia="Times New Roman" w:hAnsi="Times New Roman" w:cs="Times New Roman"/>
          <w:szCs w:val="20"/>
        </w:rPr>
        <w:t>Wzór umowy deweloperskiej lub umowy, o której mowa w art. 2 ust. 1 pkt 2, 3 lub 5 ustawy z dnia 20 maja 2021 r. o ochronie praw nabywcy lokalu mieszkalnego lub domu jednorodzinnego oraz Deweloperskim Funduszu Gwarancyjnym.</w:t>
      </w:r>
    </w:p>
    <w:p w14:paraId="72894666" w14:textId="77777777" w:rsidR="00EA1C22" w:rsidRPr="005D7087" w:rsidRDefault="00EA1C22" w:rsidP="00EA1C22">
      <w:pPr>
        <w:spacing w:beforeLines="60" w:before="144" w:afterLines="60" w:after="144" w:line="240" w:lineRule="auto"/>
        <w:jc w:val="both"/>
        <w:rPr>
          <w:rFonts w:ascii="Times New Roman" w:eastAsia="Times New Roman" w:hAnsi="Times New Roman" w:cs="Times New Roman"/>
          <w:szCs w:val="20"/>
        </w:rPr>
      </w:pPr>
      <w:r w:rsidRPr="002835A8">
        <w:rPr>
          <w:rFonts w:ascii="Times New Roman" w:eastAsia="Times New Roman" w:hAnsi="Times New Roman" w:cs="Times New Roman"/>
          <w:szCs w:val="20"/>
        </w:rPr>
        <w:t xml:space="preserve">3. Szkic koncepcji zagospodarowania terenu inwestycji i jego otoczenia z zaznaczeniem budynku oraz istotnych uwarunkowań lokalizacji inwestycji wynikających z przepisów odrębnych oraz z istniejącego i planowanego stanu użytkowania terenów sąsiednich (np. z funkcji terenu, stref </w:t>
      </w:r>
      <w:r w:rsidRPr="005D7087">
        <w:rPr>
          <w:rFonts w:ascii="Times New Roman" w:eastAsia="Times New Roman" w:hAnsi="Times New Roman" w:cs="Times New Roman"/>
          <w:szCs w:val="20"/>
        </w:rPr>
        <w:t xml:space="preserve">ochronnych, uciążliwości). </w:t>
      </w:r>
    </w:p>
    <w:p w14:paraId="175E9A7D" w14:textId="77777777" w:rsidR="00EA1C22" w:rsidRPr="002835A8" w:rsidRDefault="00EA1C22" w:rsidP="00EA1C22">
      <w:pPr>
        <w:spacing w:beforeLines="60" w:before="144" w:afterLines="60" w:after="144" w:line="240" w:lineRule="auto"/>
        <w:jc w:val="both"/>
        <w:rPr>
          <w:rFonts w:ascii="Times New Roman" w:eastAsia="Times New Roman" w:hAnsi="Times New Roman" w:cs="Times New Roman"/>
          <w:b/>
          <w:szCs w:val="20"/>
        </w:rPr>
      </w:pPr>
      <w:r w:rsidRPr="002835A8">
        <w:rPr>
          <w:rFonts w:ascii="Times New Roman" w:eastAsia="Times New Roman" w:hAnsi="Times New Roman" w:cs="Times New Roman"/>
          <w:noProof/>
          <w:szCs w:val="20"/>
          <w:lang w:eastAsia="pl-PL"/>
        </w:rPr>
        <mc:AlternateContent>
          <mc:Choice Requires="wps">
            <w:drawing>
              <wp:anchor distT="0" distB="0" distL="114300" distR="114300" simplePos="0" relativeHeight="251658241" behindDoc="0" locked="0" layoutInCell="1" allowOverlap="1" wp14:anchorId="1BACBC17" wp14:editId="4CB89067">
                <wp:simplePos x="0" y="0"/>
                <wp:positionH relativeFrom="column">
                  <wp:posOffset>-800100</wp:posOffset>
                </wp:positionH>
                <wp:positionV relativeFrom="paragraph">
                  <wp:posOffset>84455</wp:posOffset>
                </wp:positionV>
                <wp:extent cx="7543800" cy="0"/>
                <wp:effectExtent l="17145" t="1905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43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8D67D" id="Straight Connector 4" o:spid="_x0000_s1026" style="position:absolute;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6.65pt" to="53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" strokeweight="2.25pt"/>
            </w:pict>
          </mc:Fallback>
        </mc:AlternateContent>
      </w:r>
    </w:p>
    <w:p w14:paraId="23596263" w14:textId="77777777" w:rsidR="007F577D" w:rsidRPr="002835A8" w:rsidRDefault="007F577D">
      <w:pPr>
        <w:rPr>
          <w:sz w:val="24"/>
        </w:rPr>
      </w:pPr>
    </w:p>
    <w:sectPr w:rsidR="007F577D" w:rsidRPr="002835A8" w:rsidSect="00C34352">
      <w:headerReference w:type="even" r:id="rId22"/>
      <w:headerReference w:type="default" r:id="rId23"/>
      <w:footerReference w:type="default" r:id="rId24"/>
      <w:headerReference w:type="first" r:id="rId25"/>
      <w:footerReference w:type="first" r:id="rId26"/>
      <w:footnotePr>
        <w:numRestart w:val="eachPage"/>
      </w:footnotePr>
      <w:pgSz w:w="11906" w:h="16838"/>
      <w:pgMar w:top="1417" w:right="1417" w:bottom="1135" w:left="1417"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EEAF1" w14:textId="77777777" w:rsidR="000D0639" w:rsidRDefault="000D0639" w:rsidP="00EA1C22">
      <w:pPr>
        <w:spacing w:after="0" w:line="240" w:lineRule="auto"/>
      </w:pPr>
      <w:r>
        <w:separator/>
      </w:r>
    </w:p>
  </w:endnote>
  <w:endnote w:type="continuationSeparator" w:id="0">
    <w:p w14:paraId="1200EBED" w14:textId="77777777" w:rsidR="000D0639" w:rsidRDefault="000D0639" w:rsidP="00EA1C22">
      <w:pPr>
        <w:spacing w:after="0" w:line="240" w:lineRule="auto"/>
      </w:pPr>
      <w:r>
        <w:continuationSeparator/>
      </w:r>
    </w:p>
  </w:endnote>
  <w:endnote w:type="continuationNotice" w:id="1">
    <w:p w14:paraId="4B559C90" w14:textId="77777777" w:rsidR="000D0639" w:rsidRDefault="000D06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Univers-PL">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3531930"/>
      <w:docPartObj>
        <w:docPartGallery w:val="Page Numbers (Bottom of Page)"/>
        <w:docPartUnique/>
      </w:docPartObj>
    </w:sdtPr>
    <w:sdtEndPr>
      <w:rPr>
        <w:rFonts w:ascii="Times New Roman" w:hAnsi="Times New Roman" w:cs="Times New Roman"/>
        <w:sz w:val="24"/>
      </w:rPr>
    </w:sdtEndPr>
    <w:sdtContent>
      <w:p w14:paraId="059A1B05" w14:textId="77777777" w:rsidR="00252BFA" w:rsidRPr="007E3E4D" w:rsidRDefault="00252BFA" w:rsidP="007E3E4D">
        <w:pPr>
          <w:pStyle w:val="Stopka"/>
          <w:jc w:val="center"/>
          <w:rPr>
            <w:rFonts w:ascii="Times New Roman" w:hAnsi="Times New Roman" w:cs="Times New Roman"/>
            <w:sz w:val="24"/>
          </w:rPr>
        </w:pPr>
        <w:r w:rsidRPr="00143535">
          <w:rPr>
            <w:rFonts w:ascii="Times New Roman" w:hAnsi="Times New Roman" w:cs="Times New Roman"/>
            <w:sz w:val="24"/>
          </w:rPr>
          <w:fldChar w:fldCharType="begin"/>
        </w:r>
        <w:r w:rsidRPr="00143535">
          <w:rPr>
            <w:rFonts w:ascii="Times New Roman" w:hAnsi="Times New Roman" w:cs="Times New Roman"/>
            <w:sz w:val="24"/>
          </w:rPr>
          <w:instrText>PAGE   \* MERGEFORMAT</w:instrText>
        </w:r>
        <w:r w:rsidRPr="00143535">
          <w:rPr>
            <w:rFonts w:ascii="Times New Roman" w:hAnsi="Times New Roman" w:cs="Times New Roman"/>
            <w:sz w:val="24"/>
          </w:rPr>
          <w:fldChar w:fldCharType="separate"/>
        </w:r>
        <w:r w:rsidR="004A3582">
          <w:rPr>
            <w:rFonts w:ascii="Times New Roman" w:hAnsi="Times New Roman" w:cs="Times New Roman"/>
            <w:noProof/>
            <w:sz w:val="24"/>
          </w:rPr>
          <w:t>6</w:t>
        </w:r>
        <w:r w:rsidRPr="00143535">
          <w:rPr>
            <w:rFonts w:ascii="Times New Roman" w:hAnsi="Times New Roman" w:cs="Times New Roman"/>
            <w:sz w:val="24"/>
          </w:rPr>
          <w:fldChar w:fldCharType="end"/>
        </w:r>
      </w:p>
    </w:sdtContent>
  </w:sdt>
  <w:p w14:paraId="69CF382D" w14:textId="77777777" w:rsidR="00252BFA" w:rsidRDefault="00252BFA"/>
  <w:p w14:paraId="1F5FFD98" w14:textId="77777777" w:rsidR="00252BFA" w:rsidRDefault="00252BFA"/>
  <w:p w14:paraId="6B3653AA" w14:textId="77777777" w:rsidR="00252BFA" w:rsidRDefault="00252BF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71FBC" w14:textId="77777777" w:rsidR="00252BFA" w:rsidRDefault="00252BFA">
    <w:pPr>
      <w:pStyle w:val="Stopka"/>
      <w:jc w:val="center"/>
    </w:pPr>
  </w:p>
  <w:p w14:paraId="551956FF" w14:textId="77777777" w:rsidR="00252BFA" w:rsidRDefault="00252B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A3B60D" w14:textId="77777777" w:rsidR="000D0639" w:rsidRDefault="000D0639" w:rsidP="00EA1C22">
      <w:pPr>
        <w:spacing w:after="0" w:line="240" w:lineRule="auto"/>
      </w:pPr>
      <w:r>
        <w:separator/>
      </w:r>
    </w:p>
  </w:footnote>
  <w:footnote w:type="continuationSeparator" w:id="0">
    <w:p w14:paraId="7300047D" w14:textId="77777777" w:rsidR="000D0639" w:rsidRDefault="000D0639" w:rsidP="00EA1C22">
      <w:pPr>
        <w:spacing w:after="0" w:line="240" w:lineRule="auto"/>
      </w:pPr>
      <w:r>
        <w:continuationSeparator/>
      </w:r>
    </w:p>
  </w:footnote>
  <w:footnote w:type="continuationNotice" w:id="1">
    <w:p w14:paraId="75E5C5E2" w14:textId="77777777" w:rsidR="000D0639" w:rsidRDefault="000D0639">
      <w:pPr>
        <w:spacing w:after="0" w:line="240" w:lineRule="auto"/>
      </w:pPr>
    </w:p>
  </w:footnote>
  <w:footnote w:id="2">
    <w:p w14:paraId="0ECDF6CD" w14:textId="77777777" w:rsidR="00252BFA" w:rsidRPr="009017DC" w:rsidRDefault="00252BFA" w:rsidP="007E3E4D">
      <w:pPr>
        <w:pStyle w:val="Tekstprzypisudolnego"/>
        <w:ind w:left="284" w:hanging="284"/>
        <w:jc w:val="both"/>
        <w:rPr>
          <w:rFonts w:ascii="Times New Roman" w:hAnsi="Times New Roman"/>
          <w:sz w:val="18"/>
          <w:szCs w:val="18"/>
        </w:rPr>
      </w:pPr>
      <w:r w:rsidRPr="00BD376F">
        <w:rPr>
          <w:rStyle w:val="Odwoanieprzypisudolnego"/>
          <w:rFonts w:ascii="Times New Roman" w:hAnsi="Times New Roman"/>
          <w:sz w:val="18"/>
          <w:szCs w:val="18"/>
        </w:rPr>
        <w:t>1)</w:t>
      </w:r>
      <w:r>
        <w:rPr>
          <w:rFonts w:ascii="Times New Roman" w:hAnsi="Times New Roman"/>
          <w:sz w:val="18"/>
          <w:szCs w:val="18"/>
        </w:rPr>
        <w:tab/>
      </w:r>
      <w:r w:rsidRPr="00BD376F">
        <w:rPr>
          <w:rFonts w:ascii="Times New Roman" w:hAnsi="Times New Roman"/>
          <w:sz w:val="18"/>
          <w:szCs w:val="18"/>
        </w:rPr>
        <w:t>J</w:t>
      </w:r>
      <w:r w:rsidRPr="009017DC">
        <w:rPr>
          <w:rFonts w:ascii="Times New Roman" w:hAnsi="Times New Roman"/>
          <w:sz w:val="18"/>
          <w:szCs w:val="18"/>
        </w:rPr>
        <w:t>eżeli działka nie posiada adresu, należy opisowo określić jej położenie</w:t>
      </w:r>
      <w:r>
        <w:rPr>
          <w:rFonts w:ascii="Times New Roman" w:hAnsi="Times New Roman"/>
          <w:sz w:val="18"/>
          <w:szCs w:val="18"/>
        </w:rPr>
        <w:t>.</w:t>
      </w:r>
    </w:p>
  </w:footnote>
  <w:footnote w:id="3">
    <w:p w14:paraId="0E81BC8A" w14:textId="77777777" w:rsidR="00252BFA" w:rsidRPr="00143535" w:rsidRDefault="00252BFA" w:rsidP="00143535">
      <w:pPr>
        <w:pStyle w:val="Tekstprzypisudolnego"/>
        <w:ind w:left="284" w:hanging="284"/>
        <w:jc w:val="both"/>
        <w:rPr>
          <w:rFonts w:ascii="Times New Roman" w:hAnsi="Times New Roman" w:cs="Times New Roman"/>
          <w:sz w:val="18"/>
          <w:szCs w:val="18"/>
        </w:rPr>
      </w:pPr>
      <w:r w:rsidRPr="00143535">
        <w:rPr>
          <w:rStyle w:val="Odwoanieprzypisudolnego"/>
          <w:rFonts w:ascii="Times New Roman" w:hAnsi="Times New Roman"/>
          <w:sz w:val="18"/>
          <w:szCs w:val="18"/>
        </w:rPr>
        <w:t>2)</w:t>
      </w:r>
      <w:r>
        <w:rPr>
          <w:rFonts w:ascii="Times New Roman" w:hAnsi="Times New Roman" w:cs="Times New Roman"/>
          <w:sz w:val="18"/>
          <w:szCs w:val="18"/>
        </w:rPr>
        <w:tab/>
      </w:r>
      <w:r w:rsidRPr="00143535">
        <w:rPr>
          <w:rFonts w:ascii="Times New Roman" w:hAnsi="Times New Roman" w:cs="Times New Roman"/>
          <w:sz w:val="18"/>
          <w:szCs w:val="18"/>
        </w:rPr>
        <w:t>W szczególności imię i nazwisko albo firma właściciela lub użytkownika wieczystego oraz istniejące obciążenia na nieruchomości.</w:t>
      </w:r>
    </w:p>
  </w:footnote>
  <w:footnote w:id="4">
    <w:p w14:paraId="222AB81A" w14:textId="77777777" w:rsidR="00252BFA" w:rsidRPr="00143535" w:rsidRDefault="00252BFA" w:rsidP="00143535">
      <w:pPr>
        <w:pStyle w:val="Tekstprzypisudolnego"/>
        <w:ind w:left="284" w:hanging="284"/>
        <w:jc w:val="both"/>
        <w:rPr>
          <w:rFonts w:ascii="Times New Roman" w:hAnsi="Times New Roman" w:cs="Times New Roman"/>
          <w:sz w:val="18"/>
          <w:szCs w:val="18"/>
        </w:rPr>
      </w:pPr>
      <w:r w:rsidRPr="00143535">
        <w:rPr>
          <w:rStyle w:val="Odwoanieprzypisudolnego"/>
          <w:rFonts w:ascii="Times New Roman" w:hAnsi="Times New Roman"/>
          <w:sz w:val="18"/>
          <w:szCs w:val="18"/>
        </w:rPr>
        <w:t>3)</w:t>
      </w:r>
      <w:r>
        <w:rPr>
          <w:rFonts w:ascii="Times New Roman" w:hAnsi="Times New Roman" w:cs="Times New Roman"/>
          <w:sz w:val="18"/>
          <w:szCs w:val="18"/>
        </w:rPr>
        <w:tab/>
      </w:r>
      <w:r w:rsidRPr="00143535">
        <w:rPr>
          <w:rFonts w:ascii="Times New Roman" w:hAnsi="Times New Roman" w:cs="Times New Roman"/>
          <w:sz w:val="18"/>
          <w:szCs w:val="18"/>
        </w:rPr>
        <w:t>W szczególności obiekty generujące uciążliwości zapachowe, hałasowe, świetlne.</w:t>
      </w:r>
    </w:p>
  </w:footnote>
  <w:footnote w:id="5">
    <w:p w14:paraId="5BE5793D" w14:textId="77777777" w:rsidR="00252BFA" w:rsidRPr="00143535" w:rsidRDefault="00252BFA" w:rsidP="00143535">
      <w:pPr>
        <w:spacing w:after="0" w:line="240" w:lineRule="auto"/>
        <w:ind w:left="284" w:hanging="284"/>
        <w:jc w:val="both"/>
        <w:rPr>
          <w:rFonts w:ascii="Times New Roman" w:hAnsi="Times New Roman" w:cs="Times New Roman"/>
          <w:sz w:val="18"/>
          <w:szCs w:val="18"/>
        </w:rPr>
      </w:pPr>
      <w:r w:rsidRPr="00143535">
        <w:rPr>
          <w:rStyle w:val="Odwoanieprzypisudolnego"/>
          <w:rFonts w:ascii="Times New Roman" w:hAnsi="Times New Roman"/>
          <w:sz w:val="18"/>
          <w:szCs w:val="18"/>
        </w:rPr>
        <w:t>4)</w:t>
      </w:r>
      <w:r>
        <w:rPr>
          <w:rFonts w:ascii="Times New Roman" w:hAnsi="Times New Roman" w:cs="Times New Roman"/>
          <w:sz w:val="18"/>
          <w:szCs w:val="18"/>
        </w:rPr>
        <w:tab/>
      </w:r>
      <w:r w:rsidRPr="00143535">
        <w:rPr>
          <w:rFonts w:ascii="Times New Roman" w:hAnsi="Times New Roman" w:cs="Times New Roman"/>
          <w:sz w:val="18"/>
          <w:szCs w:val="18"/>
        </w:rPr>
        <w:t>Akty prawne (rozporządzenia, zarządzenia, uchwały) w sprawie:</w:t>
      </w:r>
    </w:p>
    <w:p w14:paraId="0D68F10E" w14:textId="340F2F4A" w:rsidR="00252BFA" w:rsidRPr="00DB4327" w:rsidRDefault="00252BFA" w:rsidP="00143535">
      <w:pPr>
        <w:pStyle w:val="Akapitzlist"/>
        <w:widowControl/>
        <w:numPr>
          <w:ilvl w:val="0"/>
          <w:numId w:val="5"/>
        </w:numPr>
        <w:autoSpaceDE/>
        <w:autoSpaceDN/>
        <w:adjustRightInd/>
        <w:spacing w:line="240" w:lineRule="auto"/>
        <w:ind w:left="567" w:hanging="283"/>
        <w:jc w:val="both"/>
        <w:rPr>
          <w:rFonts w:cs="Times New Roman"/>
          <w:sz w:val="18"/>
          <w:szCs w:val="18"/>
        </w:rPr>
      </w:pPr>
      <w:r w:rsidRPr="00DB4327">
        <w:rPr>
          <w:rFonts w:cs="Times New Roman"/>
          <w:color w:val="000000" w:themeColor="text1"/>
          <w:sz w:val="18"/>
          <w:szCs w:val="18"/>
        </w:rPr>
        <w:t>dotyczących Inwestycji, Inwestycji Towarzyszących oraz obszaru otoczenia CPK</w:t>
      </w:r>
      <w:r>
        <w:rPr>
          <w:rFonts w:cs="Times New Roman"/>
          <w:color w:val="000000" w:themeColor="text1"/>
          <w:sz w:val="18"/>
          <w:szCs w:val="18"/>
        </w:rPr>
        <w:t>,</w:t>
      </w:r>
    </w:p>
    <w:p w14:paraId="0DF45C0A" w14:textId="196ADF8F" w:rsidR="00252BFA" w:rsidRPr="00DB4327" w:rsidRDefault="00252BFA" w:rsidP="00143535">
      <w:pPr>
        <w:pStyle w:val="Akapitzlist"/>
        <w:widowControl/>
        <w:numPr>
          <w:ilvl w:val="0"/>
          <w:numId w:val="5"/>
        </w:numPr>
        <w:autoSpaceDE/>
        <w:autoSpaceDN/>
        <w:adjustRightInd/>
        <w:spacing w:line="240" w:lineRule="auto"/>
        <w:ind w:left="567" w:hanging="283"/>
        <w:jc w:val="both"/>
        <w:rPr>
          <w:rFonts w:cs="Times New Roman"/>
          <w:sz w:val="18"/>
          <w:szCs w:val="18"/>
        </w:rPr>
      </w:pPr>
      <w:r w:rsidRPr="00DB4327">
        <w:rPr>
          <w:rFonts w:cs="Times New Roman"/>
          <w:sz w:val="18"/>
          <w:szCs w:val="18"/>
        </w:rPr>
        <w:t xml:space="preserve">lokalizacji inwestycji mieszkaniowej lub inwestycji towarzyszącej, </w:t>
      </w:r>
    </w:p>
    <w:p w14:paraId="727B96B7" w14:textId="77777777" w:rsidR="00252BFA" w:rsidRPr="00DB4327" w:rsidRDefault="00252BFA" w:rsidP="00143535">
      <w:pPr>
        <w:pStyle w:val="Akapitzlist"/>
        <w:widowControl/>
        <w:numPr>
          <w:ilvl w:val="0"/>
          <w:numId w:val="5"/>
        </w:numPr>
        <w:autoSpaceDE/>
        <w:autoSpaceDN/>
        <w:adjustRightInd/>
        <w:spacing w:line="240" w:lineRule="auto"/>
        <w:ind w:left="567" w:hanging="283"/>
        <w:jc w:val="both"/>
        <w:rPr>
          <w:rFonts w:cs="Times New Roman"/>
          <w:sz w:val="18"/>
          <w:szCs w:val="18"/>
        </w:rPr>
      </w:pPr>
      <w:r w:rsidRPr="00DB4327">
        <w:rPr>
          <w:rFonts w:cs="Times New Roman"/>
          <w:sz w:val="18"/>
          <w:szCs w:val="18"/>
        </w:rPr>
        <w:t>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 grzybów),</w:t>
      </w:r>
    </w:p>
    <w:p w14:paraId="0A51D555" w14:textId="77777777" w:rsidR="00252BFA" w:rsidRPr="00DB4327" w:rsidRDefault="00252BFA" w:rsidP="00143535">
      <w:pPr>
        <w:pStyle w:val="Akapitzlist"/>
        <w:widowControl/>
        <w:numPr>
          <w:ilvl w:val="0"/>
          <w:numId w:val="5"/>
        </w:numPr>
        <w:autoSpaceDE/>
        <w:autoSpaceDN/>
        <w:adjustRightInd/>
        <w:spacing w:line="240" w:lineRule="auto"/>
        <w:ind w:left="567" w:hanging="283"/>
        <w:jc w:val="both"/>
        <w:rPr>
          <w:rFonts w:cs="Times New Roman"/>
          <w:sz w:val="18"/>
          <w:szCs w:val="18"/>
        </w:rPr>
      </w:pPr>
      <w:r w:rsidRPr="00DB4327">
        <w:rPr>
          <w:rFonts w:cs="Times New Roman"/>
          <w:sz w:val="18"/>
          <w:szCs w:val="18"/>
        </w:rPr>
        <w:t>ustanowienia strefy ochronnej terenu ochrony bezpośredniej i terenu ochrony pośredniej ujęcia wody,</w:t>
      </w:r>
    </w:p>
    <w:p w14:paraId="0071D242" w14:textId="77777777" w:rsidR="00252BFA" w:rsidRPr="00DB4327" w:rsidRDefault="00252BFA" w:rsidP="00143535">
      <w:pPr>
        <w:pStyle w:val="Akapitzlist"/>
        <w:widowControl/>
        <w:numPr>
          <w:ilvl w:val="0"/>
          <w:numId w:val="5"/>
        </w:numPr>
        <w:autoSpaceDE/>
        <w:autoSpaceDN/>
        <w:adjustRightInd/>
        <w:spacing w:line="240" w:lineRule="auto"/>
        <w:ind w:left="567" w:hanging="283"/>
        <w:jc w:val="both"/>
        <w:rPr>
          <w:rFonts w:cs="Times New Roman"/>
          <w:sz w:val="18"/>
          <w:szCs w:val="18"/>
        </w:rPr>
      </w:pPr>
      <w:r w:rsidRPr="00DB4327">
        <w:rPr>
          <w:rFonts w:cs="Times New Roman"/>
          <w:sz w:val="18"/>
          <w:szCs w:val="18"/>
        </w:rPr>
        <w:t>wyznaczenia obszarów cichych w aglomeracji lub obszarów cichych poza aglomeracją,</w:t>
      </w:r>
    </w:p>
    <w:p w14:paraId="299BE02E" w14:textId="77777777" w:rsidR="00252BFA" w:rsidRPr="00DB4327" w:rsidRDefault="00252BFA" w:rsidP="00143535">
      <w:pPr>
        <w:pStyle w:val="Akapitzlist"/>
        <w:widowControl/>
        <w:numPr>
          <w:ilvl w:val="0"/>
          <w:numId w:val="5"/>
        </w:numPr>
        <w:autoSpaceDE/>
        <w:autoSpaceDN/>
        <w:adjustRightInd/>
        <w:spacing w:line="240" w:lineRule="auto"/>
        <w:ind w:left="567" w:hanging="283"/>
        <w:jc w:val="both"/>
        <w:rPr>
          <w:rFonts w:cs="Times New Roman"/>
          <w:sz w:val="18"/>
          <w:szCs w:val="18"/>
        </w:rPr>
      </w:pPr>
      <w:r w:rsidRPr="00DB4327">
        <w:rPr>
          <w:rFonts w:cs="Times New Roman"/>
          <w:sz w:val="18"/>
          <w:szCs w:val="18"/>
        </w:rPr>
        <w:t>utworzenia obszaru ograniczonego użytkowania,</w:t>
      </w:r>
    </w:p>
    <w:p w14:paraId="5BF41303" w14:textId="77777777" w:rsidR="00252BFA" w:rsidRPr="00DB4327" w:rsidRDefault="00252BFA" w:rsidP="00143535">
      <w:pPr>
        <w:pStyle w:val="Akapitzlist"/>
        <w:widowControl/>
        <w:numPr>
          <w:ilvl w:val="0"/>
          <w:numId w:val="5"/>
        </w:numPr>
        <w:autoSpaceDE/>
        <w:autoSpaceDN/>
        <w:adjustRightInd/>
        <w:spacing w:line="240" w:lineRule="auto"/>
        <w:ind w:left="567" w:hanging="283"/>
        <w:jc w:val="both"/>
        <w:rPr>
          <w:rFonts w:cs="Times New Roman"/>
          <w:sz w:val="18"/>
          <w:szCs w:val="18"/>
        </w:rPr>
      </w:pPr>
      <w:r w:rsidRPr="00DB4327">
        <w:rPr>
          <w:rFonts w:cs="Times New Roman"/>
          <w:sz w:val="18"/>
          <w:szCs w:val="18"/>
        </w:rPr>
        <w:t>uznania zabytku za pomnik historii,</w:t>
      </w:r>
    </w:p>
    <w:p w14:paraId="3D8A3850" w14:textId="77777777" w:rsidR="00252BFA" w:rsidRPr="00DD0800" w:rsidRDefault="00252BFA" w:rsidP="00143535">
      <w:pPr>
        <w:pStyle w:val="Akapitzlist"/>
        <w:widowControl/>
        <w:numPr>
          <w:ilvl w:val="0"/>
          <w:numId w:val="5"/>
        </w:numPr>
        <w:autoSpaceDE/>
        <w:autoSpaceDN/>
        <w:adjustRightInd/>
        <w:spacing w:line="240" w:lineRule="auto"/>
        <w:ind w:left="567" w:hanging="283"/>
        <w:jc w:val="both"/>
        <w:rPr>
          <w:rFonts w:cs="Times New Roman"/>
          <w:sz w:val="18"/>
          <w:szCs w:val="18"/>
        </w:rPr>
      </w:pPr>
      <w:r w:rsidRPr="00DB4327">
        <w:rPr>
          <w:rFonts w:cs="Times New Roman"/>
          <w:sz w:val="18"/>
          <w:szCs w:val="18"/>
        </w:rPr>
        <w:t>określenia</w:t>
      </w:r>
      <w:r w:rsidRPr="00DD0800">
        <w:rPr>
          <w:rFonts w:cs="Times New Roman"/>
          <w:sz w:val="18"/>
          <w:szCs w:val="18"/>
        </w:rPr>
        <w:t xml:space="preserve"> granic obszaru Pomnika Zagłady i jego strefy ochronnej, utworzenia parku kulturowego,</w:t>
      </w:r>
    </w:p>
    <w:p w14:paraId="7A9F2B87" w14:textId="77777777" w:rsidR="00252BFA" w:rsidRPr="00402D39" w:rsidRDefault="00252BFA">
      <w:pPr>
        <w:pStyle w:val="Akapitzlist"/>
        <w:widowControl/>
        <w:numPr>
          <w:ilvl w:val="0"/>
          <w:numId w:val="5"/>
        </w:numPr>
        <w:autoSpaceDE/>
        <w:autoSpaceDN/>
        <w:adjustRightInd/>
        <w:spacing w:line="240" w:lineRule="auto"/>
        <w:ind w:left="567" w:hanging="283"/>
        <w:jc w:val="both"/>
        <w:rPr>
          <w:rFonts w:cs="Times New Roman"/>
          <w:sz w:val="18"/>
          <w:szCs w:val="18"/>
        </w:rPr>
      </w:pPr>
      <w:r w:rsidRPr="00402D39">
        <w:rPr>
          <w:rFonts w:cs="Times New Roman"/>
          <w:sz w:val="18"/>
          <w:szCs w:val="18"/>
        </w:rPr>
        <w:t>ustalenia zasad i warunków sytuowania obiektów małej architektury, tablic reklamowych i urządzeń reklamowych oraz ogrodzeń, ich gabarytów, standardów jakościowych oraz rodzajów materiałów budowlanych.</w:t>
      </w:r>
    </w:p>
  </w:footnote>
  <w:footnote w:id="6">
    <w:p w14:paraId="4E56BBB4" w14:textId="52753565" w:rsidR="002E7359" w:rsidRPr="008B0E61" w:rsidRDefault="002E7359" w:rsidP="00AC4921">
      <w:pPr>
        <w:pStyle w:val="Tekstprzypisudolnego"/>
        <w:ind w:left="284" w:hanging="284"/>
        <w:jc w:val="both"/>
        <w:rPr>
          <w:rFonts w:ascii="Times New Roman" w:hAnsi="Times New Roman"/>
          <w:sz w:val="18"/>
          <w:szCs w:val="18"/>
        </w:rPr>
      </w:pPr>
      <w:r w:rsidRPr="008B0E61">
        <w:rPr>
          <w:rStyle w:val="Odwoanieprzypisudolnego"/>
          <w:rFonts w:ascii="Times New Roman" w:hAnsi="Times New Roman"/>
          <w:sz w:val="18"/>
          <w:szCs w:val="18"/>
        </w:rPr>
        <w:t>5)</w:t>
      </w:r>
      <w:r>
        <w:rPr>
          <w:rFonts w:ascii="Times New Roman" w:hAnsi="Times New Roman"/>
          <w:sz w:val="18"/>
          <w:szCs w:val="18"/>
        </w:rPr>
        <w:tab/>
      </w:r>
      <w:r w:rsidRPr="00AC4921">
        <w:rPr>
          <w:rFonts w:ascii="Times New Roman" w:hAnsi="Times New Roman"/>
          <w:sz w:val="18"/>
          <w:szCs w:val="18"/>
        </w:rPr>
        <w:t>W przypadku braku miejscowego planu zagospodarowania przestrzennego umieszcza się informację „Brak planu”</w:t>
      </w:r>
    </w:p>
  </w:footnote>
  <w:footnote w:id="7">
    <w:p w14:paraId="200BF461" w14:textId="7362097A" w:rsidR="002E7359" w:rsidRPr="008B0E61" w:rsidRDefault="002E7359" w:rsidP="007E3E4D">
      <w:pPr>
        <w:pStyle w:val="Tekstprzypisudolnego"/>
        <w:ind w:left="284" w:hanging="284"/>
        <w:jc w:val="both"/>
        <w:rPr>
          <w:rFonts w:ascii="Times New Roman" w:hAnsi="Times New Roman"/>
          <w:sz w:val="18"/>
          <w:szCs w:val="18"/>
        </w:rPr>
      </w:pPr>
      <w:r w:rsidRPr="00972746">
        <w:rPr>
          <w:rStyle w:val="Odwoanieprzypisudolnego"/>
        </w:rPr>
        <w:t>6)</w:t>
      </w:r>
      <w:r w:rsidRPr="00972746">
        <w:t xml:space="preserve"> </w:t>
      </w:r>
      <w:r w:rsidRPr="00972746">
        <w:rPr>
          <w:rFonts w:ascii="Times New Roman" w:hAnsi="Times New Roman"/>
          <w:sz w:val="18"/>
          <w:szCs w:val="18"/>
        </w:rPr>
        <w:tab/>
        <w:t>Wskazane inwestycje dotyczą w szczególności budowy lub rozbudowy dróg, budowy linii szynowych oraz przewidzianych korytarzy powietrznych, inwestycji komunalnych, takich jak: oczyszczalnie ścieków, spalarnie śmieci, wysypiska, cmentarze.</w:t>
      </w:r>
    </w:p>
  </w:footnote>
  <w:footnote w:id="8">
    <w:p w14:paraId="7FEB64DB" w14:textId="77777777" w:rsidR="002E7359" w:rsidRPr="008B0E61" w:rsidRDefault="002E7359" w:rsidP="00EA1C22">
      <w:pPr>
        <w:pStyle w:val="Tekstprzypisudolnego"/>
        <w:rPr>
          <w:rFonts w:ascii="Times New Roman" w:hAnsi="Times New Roman"/>
          <w:sz w:val="18"/>
          <w:szCs w:val="18"/>
        </w:rPr>
      </w:pPr>
      <w:r w:rsidRPr="008B0E61">
        <w:rPr>
          <w:rStyle w:val="Odwoanieprzypisudolnego"/>
          <w:rFonts w:ascii="Times New Roman" w:hAnsi="Times New Roman"/>
          <w:sz w:val="18"/>
          <w:szCs w:val="18"/>
        </w:rPr>
        <w:t>*</w:t>
      </w:r>
      <w:r w:rsidRPr="008B0E61">
        <w:rPr>
          <w:rFonts w:ascii="Times New Roman" w:hAnsi="Times New Roman"/>
          <w:sz w:val="18"/>
          <w:szCs w:val="18"/>
        </w:rPr>
        <w:t xml:space="preserve"> Niepotrzebne skreślić</w:t>
      </w:r>
      <w:r>
        <w:rPr>
          <w:rFonts w:ascii="Times New Roman" w:hAnsi="Times New Roman"/>
          <w:sz w:val="18"/>
          <w:szCs w:val="18"/>
        </w:rPr>
        <w:t>.</w:t>
      </w:r>
      <w:r w:rsidRPr="008B0E61">
        <w:rPr>
          <w:rFonts w:ascii="Times New Roman" w:hAnsi="Times New Roman"/>
          <w:sz w:val="18"/>
          <w:szCs w:val="18"/>
        </w:rPr>
        <w:t xml:space="preserve"> </w:t>
      </w:r>
    </w:p>
  </w:footnote>
  <w:footnote w:id="9">
    <w:p w14:paraId="103B91DC" w14:textId="1BE3B83B" w:rsidR="002E7359" w:rsidRPr="008B0E61" w:rsidRDefault="002E7359" w:rsidP="007E3E4D">
      <w:pPr>
        <w:pStyle w:val="Tekstprzypisudolnego"/>
        <w:ind w:left="284" w:hanging="284"/>
        <w:jc w:val="both"/>
        <w:rPr>
          <w:rFonts w:ascii="Times New Roman" w:hAnsi="Times New Roman"/>
          <w:sz w:val="18"/>
          <w:szCs w:val="18"/>
        </w:rPr>
      </w:pPr>
      <w:r>
        <w:rPr>
          <w:rStyle w:val="Odwoanieprzypisudolnego"/>
        </w:rPr>
        <w:t>7)</w:t>
      </w:r>
      <w:r>
        <w:t xml:space="preserve"> </w:t>
      </w:r>
      <w:r>
        <w:rPr>
          <w:rFonts w:ascii="Times New Roman" w:hAnsi="Times New Roman"/>
          <w:sz w:val="18"/>
          <w:szCs w:val="18"/>
        </w:rPr>
        <w:tab/>
      </w:r>
      <w:r w:rsidRPr="00AC4921">
        <w:rPr>
          <w:rFonts w:ascii="Times New Roman" w:hAnsi="Times New Roman"/>
          <w:sz w:val="18"/>
          <w:szCs w:val="18"/>
        </w:rPr>
        <w:t>Zgodnie z art. 49 ust. 6 ustawy z dnia 20 maja 2021 r. o ochronie praw nabywcy lokalu mieszkalnego lub domu jednorodzinnego oraz Deweloperskim Funduszu Gwarancyjnym (Dz. U. poz.  1177) wysokość składki jest wyliczana według stawki procentowej obowiązującej w dniu rozpoczęcia sprzedaży lokali mieszkalnych lub domów jednorodzinnych w ramach danego przedsięwzięcia deweloperskiego lub zadania inwestycyjnego. Natomiast stawkę procentową określa akt wykonawczy wydany na podstawie art. 49 ust. 8 ustawy z dnia 20 maja 2021 r. o ochronie praw nabywcy lokalu mieszkalnego lub domu jednorodzinnego oraz Deweloperskim Funduszu Gwarancyjnym.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841DB" w14:textId="174CEEA0" w:rsidR="00A36830" w:rsidRDefault="00A36830">
    <w:pPr>
      <w:pStyle w:val="Nagwek"/>
    </w:pPr>
    <w:r>
      <w:rPr>
        <w:noProof/>
      </w:rPr>
      <mc:AlternateContent>
        <mc:Choice Requires="wps">
          <w:drawing>
            <wp:anchor distT="0" distB="0" distL="0" distR="0" simplePos="0" relativeHeight="251659264" behindDoc="0" locked="0" layoutInCell="1" allowOverlap="1" wp14:anchorId="7D6B271E" wp14:editId="1D377AC6">
              <wp:simplePos x="635" y="635"/>
              <wp:positionH relativeFrom="page">
                <wp:align>left</wp:align>
              </wp:positionH>
              <wp:positionV relativeFrom="page">
                <wp:align>top</wp:align>
              </wp:positionV>
              <wp:extent cx="443865" cy="443865"/>
              <wp:effectExtent l="0" t="0" r="5715" b="17780"/>
              <wp:wrapNone/>
              <wp:docPr id="3" name="Pole tekstowe 3" descr="&#10;                 Informacje Służbowe podmiotu z Grupy mBank - objęte ochroną | mBank Groups entity Business information - prote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6F9B61" w14:textId="77777777" w:rsidR="00A36830" w:rsidRPr="00A36830" w:rsidRDefault="00A36830" w:rsidP="00A36830">
                          <w:pPr>
                            <w:spacing w:after="0"/>
                            <w:rPr>
                              <w:rFonts w:ascii="Calibri" w:eastAsia="Calibri" w:hAnsi="Calibri" w:cs="Calibri"/>
                              <w:noProof/>
                              <w:color w:val="000000"/>
                              <w:sz w:val="16"/>
                              <w:szCs w:val="16"/>
                            </w:rPr>
                          </w:pPr>
                        </w:p>
                        <w:p w14:paraId="3B036113" w14:textId="77777777" w:rsidR="00A36830" w:rsidRPr="00A36830" w:rsidRDefault="00A36830" w:rsidP="00A36830">
                          <w:pPr>
                            <w:spacing w:after="0"/>
                            <w:rPr>
                              <w:rFonts w:ascii="Calibri" w:eastAsia="Calibri" w:hAnsi="Calibri" w:cs="Calibri"/>
                              <w:noProof/>
                              <w:color w:val="000000"/>
                              <w:sz w:val="16"/>
                              <w:szCs w:val="16"/>
                            </w:rPr>
                          </w:pPr>
                        </w:p>
                        <w:p w14:paraId="2808D703" w14:textId="0BAFDCB7" w:rsidR="00A36830" w:rsidRPr="00A36830" w:rsidRDefault="00A36830" w:rsidP="00A36830">
                          <w:pPr>
                            <w:spacing w:after="0"/>
                            <w:rPr>
                              <w:rFonts w:ascii="Calibri" w:eastAsia="Calibri" w:hAnsi="Calibri" w:cs="Calibri"/>
                              <w:noProof/>
                              <w:color w:val="000000"/>
                              <w:sz w:val="16"/>
                              <w:szCs w:val="16"/>
                            </w:rPr>
                          </w:pPr>
                          <w:r w:rsidRPr="00A36830">
                            <w:rPr>
                              <w:rFonts w:ascii="Calibri" w:eastAsia="Calibri" w:hAnsi="Calibri" w:cs="Calibri"/>
                              <w:noProof/>
                              <w:color w:val="000000"/>
                              <w:sz w:val="16"/>
                              <w:szCs w:val="16"/>
                            </w:rPr>
                            <w:t xml:space="preserve">                 Informacje Służbowe podmiotu z Grupy mBank - objęte ochroną | mBank Groups entity Business information - protected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D6B271E" id="_x0000_t202" coordsize="21600,21600" o:spt="202" path="m,l,21600r21600,l21600,xe">
              <v:stroke joinstyle="miter"/>
              <v:path gradientshapeok="t" o:connecttype="rect"/>
            </v:shapetype>
            <v:shape id="Pole tekstowe 3" o:spid="_x0000_s1026" type="#_x0000_t202" alt="&#10;                 Informacje Służbowe podmiotu z Grupy mBank - objęte ochroną | mBank Groups entity Business information - protected"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426F9B61" w14:textId="77777777" w:rsidR="00A36830" w:rsidRPr="00A36830" w:rsidRDefault="00A36830" w:rsidP="00A36830">
                    <w:pPr>
                      <w:spacing w:after="0"/>
                      <w:rPr>
                        <w:rFonts w:ascii="Calibri" w:eastAsia="Calibri" w:hAnsi="Calibri" w:cs="Calibri"/>
                        <w:noProof/>
                        <w:color w:val="000000"/>
                        <w:sz w:val="16"/>
                        <w:szCs w:val="16"/>
                      </w:rPr>
                    </w:pPr>
                  </w:p>
                  <w:p w14:paraId="3B036113" w14:textId="77777777" w:rsidR="00A36830" w:rsidRPr="00A36830" w:rsidRDefault="00A36830" w:rsidP="00A36830">
                    <w:pPr>
                      <w:spacing w:after="0"/>
                      <w:rPr>
                        <w:rFonts w:ascii="Calibri" w:eastAsia="Calibri" w:hAnsi="Calibri" w:cs="Calibri"/>
                        <w:noProof/>
                        <w:color w:val="000000"/>
                        <w:sz w:val="16"/>
                        <w:szCs w:val="16"/>
                      </w:rPr>
                    </w:pPr>
                  </w:p>
                  <w:p w14:paraId="2808D703" w14:textId="0BAFDCB7" w:rsidR="00A36830" w:rsidRPr="00A36830" w:rsidRDefault="00A36830" w:rsidP="00A36830">
                    <w:pPr>
                      <w:spacing w:after="0"/>
                      <w:rPr>
                        <w:rFonts w:ascii="Calibri" w:eastAsia="Calibri" w:hAnsi="Calibri" w:cs="Calibri"/>
                        <w:noProof/>
                        <w:color w:val="000000"/>
                        <w:sz w:val="16"/>
                        <w:szCs w:val="16"/>
                      </w:rPr>
                    </w:pPr>
                    <w:r w:rsidRPr="00A36830">
                      <w:rPr>
                        <w:rFonts w:ascii="Calibri" w:eastAsia="Calibri" w:hAnsi="Calibri" w:cs="Calibri"/>
                        <w:noProof/>
                        <w:color w:val="000000"/>
                        <w:sz w:val="16"/>
                        <w:szCs w:val="16"/>
                      </w:rPr>
                      <w:t xml:space="preserve">                 Informacje Służbowe podmiotu z Grupy mBank - objęte ochroną | mBank Groups entity Business information - protected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662F7" w14:textId="31411D2D" w:rsidR="00A36830" w:rsidRDefault="00A36830">
    <w:pPr>
      <w:pStyle w:val="Nagwek"/>
    </w:pPr>
    <w:r>
      <w:rPr>
        <w:noProof/>
      </w:rPr>
      <mc:AlternateContent>
        <mc:Choice Requires="wps">
          <w:drawing>
            <wp:anchor distT="0" distB="0" distL="0" distR="0" simplePos="0" relativeHeight="251660288" behindDoc="0" locked="0" layoutInCell="1" allowOverlap="1" wp14:anchorId="2A091400" wp14:editId="211957CA">
              <wp:simplePos x="904875" y="447675"/>
              <wp:positionH relativeFrom="page">
                <wp:align>left</wp:align>
              </wp:positionH>
              <wp:positionV relativeFrom="page">
                <wp:align>top</wp:align>
              </wp:positionV>
              <wp:extent cx="443865" cy="443865"/>
              <wp:effectExtent l="0" t="0" r="5715" b="17780"/>
              <wp:wrapNone/>
              <wp:docPr id="5" name="Pole tekstowe 5" descr="&#10;                 Informacje Służbowe podmiotu z Grupy mBank - objęte ochroną | mBank Groups entity Business information - prote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80EEE8" w14:textId="77777777" w:rsidR="00A36830" w:rsidRPr="00A36830" w:rsidRDefault="00A36830" w:rsidP="00A36830">
                          <w:pPr>
                            <w:spacing w:after="0"/>
                            <w:rPr>
                              <w:rFonts w:ascii="Calibri" w:eastAsia="Calibri" w:hAnsi="Calibri" w:cs="Calibri"/>
                              <w:noProof/>
                              <w:color w:val="000000"/>
                              <w:sz w:val="16"/>
                              <w:szCs w:val="16"/>
                            </w:rPr>
                          </w:pPr>
                        </w:p>
                        <w:p w14:paraId="4B26D3F4" w14:textId="77777777" w:rsidR="00A36830" w:rsidRPr="00A36830" w:rsidRDefault="00A36830" w:rsidP="00A36830">
                          <w:pPr>
                            <w:spacing w:after="0"/>
                            <w:rPr>
                              <w:rFonts w:ascii="Calibri" w:eastAsia="Calibri" w:hAnsi="Calibri" w:cs="Calibri"/>
                              <w:noProof/>
                              <w:color w:val="000000"/>
                              <w:sz w:val="16"/>
                              <w:szCs w:val="16"/>
                            </w:rPr>
                          </w:pPr>
                        </w:p>
                        <w:p w14:paraId="20613DDA" w14:textId="2B9E0711" w:rsidR="00A36830" w:rsidRPr="00A36830" w:rsidRDefault="00A36830" w:rsidP="00A36830">
                          <w:pPr>
                            <w:spacing w:after="0"/>
                            <w:rPr>
                              <w:rFonts w:ascii="Calibri" w:eastAsia="Calibri" w:hAnsi="Calibri" w:cs="Calibri"/>
                              <w:noProof/>
                              <w:color w:val="000000"/>
                              <w:sz w:val="16"/>
                              <w:szCs w:val="16"/>
                            </w:rPr>
                          </w:pPr>
                          <w:r w:rsidRPr="00A36830">
                            <w:rPr>
                              <w:rFonts w:ascii="Calibri" w:eastAsia="Calibri" w:hAnsi="Calibri" w:cs="Calibri"/>
                              <w:noProof/>
                              <w:color w:val="000000"/>
                              <w:sz w:val="16"/>
                              <w:szCs w:val="16"/>
                            </w:rPr>
                            <w:t xml:space="preserve">                 Informacje Służbowe podmiotu z Grupy mBank - objęte ochroną | mBank Groups entity Business information - protected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091400" id="_x0000_t202" coordsize="21600,21600" o:spt="202" path="m,l,21600r21600,l21600,xe">
              <v:stroke joinstyle="miter"/>
              <v:path gradientshapeok="t" o:connecttype="rect"/>
            </v:shapetype>
            <v:shape id="Pole tekstowe 5" o:spid="_x0000_s1027" type="#_x0000_t202" alt="&#10;                 Informacje Służbowe podmiotu z Grupy mBank - objęte ochroną | mBank Groups entity Business information - protected"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7480EEE8" w14:textId="77777777" w:rsidR="00A36830" w:rsidRPr="00A36830" w:rsidRDefault="00A36830" w:rsidP="00A36830">
                    <w:pPr>
                      <w:spacing w:after="0"/>
                      <w:rPr>
                        <w:rFonts w:ascii="Calibri" w:eastAsia="Calibri" w:hAnsi="Calibri" w:cs="Calibri"/>
                        <w:noProof/>
                        <w:color w:val="000000"/>
                        <w:sz w:val="16"/>
                        <w:szCs w:val="16"/>
                      </w:rPr>
                    </w:pPr>
                  </w:p>
                  <w:p w14:paraId="4B26D3F4" w14:textId="77777777" w:rsidR="00A36830" w:rsidRPr="00A36830" w:rsidRDefault="00A36830" w:rsidP="00A36830">
                    <w:pPr>
                      <w:spacing w:after="0"/>
                      <w:rPr>
                        <w:rFonts w:ascii="Calibri" w:eastAsia="Calibri" w:hAnsi="Calibri" w:cs="Calibri"/>
                        <w:noProof/>
                        <w:color w:val="000000"/>
                        <w:sz w:val="16"/>
                        <w:szCs w:val="16"/>
                      </w:rPr>
                    </w:pPr>
                  </w:p>
                  <w:p w14:paraId="20613DDA" w14:textId="2B9E0711" w:rsidR="00A36830" w:rsidRPr="00A36830" w:rsidRDefault="00A36830" w:rsidP="00A36830">
                    <w:pPr>
                      <w:spacing w:after="0"/>
                      <w:rPr>
                        <w:rFonts w:ascii="Calibri" w:eastAsia="Calibri" w:hAnsi="Calibri" w:cs="Calibri"/>
                        <w:noProof/>
                        <w:color w:val="000000"/>
                        <w:sz w:val="16"/>
                        <w:szCs w:val="16"/>
                      </w:rPr>
                    </w:pPr>
                    <w:r w:rsidRPr="00A36830">
                      <w:rPr>
                        <w:rFonts w:ascii="Calibri" w:eastAsia="Calibri" w:hAnsi="Calibri" w:cs="Calibri"/>
                        <w:noProof/>
                        <w:color w:val="000000"/>
                        <w:sz w:val="16"/>
                        <w:szCs w:val="16"/>
                      </w:rPr>
                      <w:t xml:space="preserve">                 Informacje Służbowe podmiotu z Grupy mBank - objęte ochroną | mBank Groups entity Business information - protected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A10FC" w14:textId="6A0CE0F8" w:rsidR="00A36830" w:rsidRDefault="00A36830">
    <w:pPr>
      <w:pStyle w:val="Nagwek"/>
    </w:pPr>
    <w:r>
      <w:rPr>
        <w:noProof/>
      </w:rPr>
      <mc:AlternateContent>
        <mc:Choice Requires="wps">
          <w:drawing>
            <wp:anchor distT="0" distB="0" distL="0" distR="0" simplePos="0" relativeHeight="251658240" behindDoc="0" locked="0" layoutInCell="1" allowOverlap="1" wp14:anchorId="0B1F6F7A" wp14:editId="10F5E693">
              <wp:simplePos x="904875" y="447675"/>
              <wp:positionH relativeFrom="page">
                <wp:align>left</wp:align>
              </wp:positionH>
              <wp:positionV relativeFrom="page">
                <wp:align>top</wp:align>
              </wp:positionV>
              <wp:extent cx="443865" cy="443865"/>
              <wp:effectExtent l="0" t="0" r="5715" b="17780"/>
              <wp:wrapNone/>
              <wp:docPr id="1" name="Pole tekstowe 1" descr="&#10;                 Informacje Służbowe podmiotu z Grupy mBank - objęte ochroną | mBank Groups entity Business information - prote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C53CDB" w14:textId="77777777" w:rsidR="00A36830" w:rsidRPr="00A36830" w:rsidRDefault="00A36830" w:rsidP="00A36830">
                          <w:pPr>
                            <w:spacing w:after="0"/>
                            <w:rPr>
                              <w:rFonts w:ascii="Calibri" w:eastAsia="Calibri" w:hAnsi="Calibri" w:cs="Calibri"/>
                              <w:noProof/>
                              <w:color w:val="000000"/>
                              <w:sz w:val="16"/>
                              <w:szCs w:val="16"/>
                            </w:rPr>
                          </w:pPr>
                        </w:p>
                        <w:p w14:paraId="5948272B" w14:textId="77777777" w:rsidR="00A36830" w:rsidRPr="00A36830" w:rsidRDefault="00A36830" w:rsidP="00A36830">
                          <w:pPr>
                            <w:spacing w:after="0"/>
                            <w:rPr>
                              <w:rFonts w:ascii="Calibri" w:eastAsia="Calibri" w:hAnsi="Calibri" w:cs="Calibri"/>
                              <w:noProof/>
                              <w:color w:val="000000"/>
                              <w:sz w:val="16"/>
                              <w:szCs w:val="16"/>
                            </w:rPr>
                          </w:pPr>
                        </w:p>
                        <w:p w14:paraId="21C2267F" w14:textId="40138299" w:rsidR="00A36830" w:rsidRPr="00A36830" w:rsidRDefault="00A36830" w:rsidP="00A36830">
                          <w:pPr>
                            <w:spacing w:after="0"/>
                            <w:rPr>
                              <w:rFonts w:ascii="Calibri" w:eastAsia="Calibri" w:hAnsi="Calibri" w:cs="Calibri"/>
                              <w:noProof/>
                              <w:color w:val="000000"/>
                              <w:sz w:val="16"/>
                              <w:szCs w:val="16"/>
                            </w:rPr>
                          </w:pPr>
                          <w:r w:rsidRPr="00A36830">
                            <w:rPr>
                              <w:rFonts w:ascii="Calibri" w:eastAsia="Calibri" w:hAnsi="Calibri" w:cs="Calibri"/>
                              <w:noProof/>
                              <w:color w:val="000000"/>
                              <w:sz w:val="16"/>
                              <w:szCs w:val="16"/>
                            </w:rPr>
                            <w:t xml:space="preserve">                 Informacje Służbowe podmiotu z Grupy mBank - objęte ochroną | mBank Groups entity Business information - protected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1F6F7A" id="_x0000_t202" coordsize="21600,21600" o:spt="202" path="m,l,21600r21600,l21600,xe">
              <v:stroke joinstyle="miter"/>
              <v:path gradientshapeok="t" o:connecttype="rect"/>
            </v:shapetype>
            <v:shape id="Pole tekstowe 1" o:spid="_x0000_s1028" type="#_x0000_t202" alt="&#10;                 Informacje Służbowe podmiotu z Grupy mBank - objęte ochroną | mBank Groups entity Business information - protected"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5FC53CDB" w14:textId="77777777" w:rsidR="00A36830" w:rsidRPr="00A36830" w:rsidRDefault="00A36830" w:rsidP="00A36830">
                    <w:pPr>
                      <w:spacing w:after="0"/>
                      <w:rPr>
                        <w:rFonts w:ascii="Calibri" w:eastAsia="Calibri" w:hAnsi="Calibri" w:cs="Calibri"/>
                        <w:noProof/>
                        <w:color w:val="000000"/>
                        <w:sz w:val="16"/>
                        <w:szCs w:val="16"/>
                      </w:rPr>
                    </w:pPr>
                  </w:p>
                  <w:p w14:paraId="5948272B" w14:textId="77777777" w:rsidR="00A36830" w:rsidRPr="00A36830" w:rsidRDefault="00A36830" w:rsidP="00A36830">
                    <w:pPr>
                      <w:spacing w:after="0"/>
                      <w:rPr>
                        <w:rFonts w:ascii="Calibri" w:eastAsia="Calibri" w:hAnsi="Calibri" w:cs="Calibri"/>
                        <w:noProof/>
                        <w:color w:val="000000"/>
                        <w:sz w:val="16"/>
                        <w:szCs w:val="16"/>
                      </w:rPr>
                    </w:pPr>
                  </w:p>
                  <w:p w14:paraId="21C2267F" w14:textId="40138299" w:rsidR="00A36830" w:rsidRPr="00A36830" w:rsidRDefault="00A36830" w:rsidP="00A36830">
                    <w:pPr>
                      <w:spacing w:after="0"/>
                      <w:rPr>
                        <w:rFonts w:ascii="Calibri" w:eastAsia="Calibri" w:hAnsi="Calibri" w:cs="Calibri"/>
                        <w:noProof/>
                        <w:color w:val="000000"/>
                        <w:sz w:val="16"/>
                        <w:szCs w:val="16"/>
                      </w:rPr>
                    </w:pPr>
                    <w:r w:rsidRPr="00A36830">
                      <w:rPr>
                        <w:rFonts w:ascii="Calibri" w:eastAsia="Calibri" w:hAnsi="Calibri" w:cs="Calibri"/>
                        <w:noProof/>
                        <w:color w:val="000000"/>
                        <w:sz w:val="16"/>
                        <w:szCs w:val="16"/>
                      </w:rPr>
                      <w:t xml:space="preserve">                 Informacje Służbowe podmiotu z Grupy mBank - objęte ochroną | mBank Groups entity Business information - protected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Wingdings" w:hint="default"/>
      </w:rPr>
    </w:lvl>
  </w:abstractNum>
  <w:abstractNum w:abstractNumId="1" w15:restartNumberingAfterBreak="0">
    <w:nsid w:val="1DE3483D"/>
    <w:multiLevelType w:val="hybridMultilevel"/>
    <w:tmpl w:val="09A446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2764B05"/>
    <w:multiLevelType w:val="hybridMultilevel"/>
    <w:tmpl w:val="29FE3E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41D1F3A"/>
    <w:multiLevelType w:val="hybridMultilevel"/>
    <w:tmpl w:val="3EB29B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0685272"/>
    <w:multiLevelType w:val="hybridMultilevel"/>
    <w:tmpl w:val="3F0C1B78"/>
    <w:lvl w:ilvl="0" w:tplc="48369490">
      <w:numFmt w:val="bullet"/>
      <w:lvlText w:val="–"/>
      <w:lvlJc w:val="left"/>
      <w:pPr>
        <w:ind w:left="1130" w:hanging="360"/>
      </w:pPr>
      <w:rPr>
        <w:rFonts w:ascii="Times New Roman" w:eastAsia="Times New Roman" w:hAnsi="Times New Roman" w:cs="Times New Roman" w:hint="default"/>
        <w:w w:val="99"/>
        <w:sz w:val="20"/>
        <w:szCs w:val="20"/>
        <w:lang w:val="pl-PL" w:eastAsia="en-US" w:bidi="ar-SA"/>
      </w:rPr>
    </w:lvl>
    <w:lvl w:ilvl="1" w:tplc="04150003">
      <w:start w:val="1"/>
      <w:numFmt w:val="bullet"/>
      <w:lvlText w:val="o"/>
      <w:lvlJc w:val="left"/>
      <w:pPr>
        <w:ind w:left="1850" w:hanging="360"/>
      </w:pPr>
      <w:rPr>
        <w:rFonts w:ascii="Courier New" w:hAnsi="Courier New" w:cs="Courier New" w:hint="default"/>
      </w:rPr>
    </w:lvl>
    <w:lvl w:ilvl="2" w:tplc="04150005">
      <w:start w:val="1"/>
      <w:numFmt w:val="bullet"/>
      <w:lvlText w:val=""/>
      <w:lvlJc w:val="left"/>
      <w:pPr>
        <w:ind w:left="2570" w:hanging="360"/>
      </w:pPr>
      <w:rPr>
        <w:rFonts w:ascii="Wingdings" w:hAnsi="Wingdings" w:hint="default"/>
      </w:rPr>
    </w:lvl>
    <w:lvl w:ilvl="3" w:tplc="04150001">
      <w:start w:val="1"/>
      <w:numFmt w:val="bullet"/>
      <w:lvlText w:val=""/>
      <w:lvlJc w:val="left"/>
      <w:pPr>
        <w:ind w:left="3290" w:hanging="360"/>
      </w:pPr>
      <w:rPr>
        <w:rFonts w:ascii="Symbol" w:hAnsi="Symbol" w:hint="default"/>
      </w:rPr>
    </w:lvl>
    <w:lvl w:ilvl="4" w:tplc="04150003">
      <w:start w:val="1"/>
      <w:numFmt w:val="bullet"/>
      <w:lvlText w:val="o"/>
      <w:lvlJc w:val="left"/>
      <w:pPr>
        <w:ind w:left="4010" w:hanging="360"/>
      </w:pPr>
      <w:rPr>
        <w:rFonts w:ascii="Courier New" w:hAnsi="Courier New" w:cs="Courier New" w:hint="default"/>
      </w:rPr>
    </w:lvl>
    <w:lvl w:ilvl="5" w:tplc="04150005">
      <w:start w:val="1"/>
      <w:numFmt w:val="bullet"/>
      <w:lvlText w:val=""/>
      <w:lvlJc w:val="left"/>
      <w:pPr>
        <w:ind w:left="4730" w:hanging="360"/>
      </w:pPr>
      <w:rPr>
        <w:rFonts w:ascii="Wingdings" w:hAnsi="Wingdings" w:hint="default"/>
      </w:rPr>
    </w:lvl>
    <w:lvl w:ilvl="6" w:tplc="04150001">
      <w:start w:val="1"/>
      <w:numFmt w:val="bullet"/>
      <w:lvlText w:val=""/>
      <w:lvlJc w:val="left"/>
      <w:pPr>
        <w:ind w:left="5450" w:hanging="360"/>
      </w:pPr>
      <w:rPr>
        <w:rFonts w:ascii="Symbol" w:hAnsi="Symbol" w:hint="default"/>
      </w:rPr>
    </w:lvl>
    <w:lvl w:ilvl="7" w:tplc="04150003">
      <w:start w:val="1"/>
      <w:numFmt w:val="bullet"/>
      <w:lvlText w:val="o"/>
      <w:lvlJc w:val="left"/>
      <w:pPr>
        <w:ind w:left="6170" w:hanging="360"/>
      </w:pPr>
      <w:rPr>
        <w:rFonts w:ascii="Courier New" w:hAnsi="Courier New" w:cs="Courier New" w:hint="default"/>
      </w:rPr>
    </w:lvl>
    <w:lvl w:ilvl="8" w:tplc="04150005">
      <w:start w:val="1"/>
      <w:numFmt w:val="bullet"/>
      <w:lvlText w:val=""/>
      <w:lvlJc w:val="left"/>
      <w:pPr>
        <w:ind w:left="6890" w:hanging="360"/>
      </w:pPr>
      <w:rPr>
        <w:rFonts w:ascii="Wingdings" w:hAnsi="Wingdings" w:hint="default"/>
      </w:rPr>
    </w:lvl>
  </w:abstractNum>
  <w:abstractNum w:abstractNumId="5" w15:restartNumberingAfterBreak="0">
    <w:nsid w:val="3CF2543A"/>
    <w:multiLevelType w:val="hybridMultilevel"/>
    <w:tmpl w:val="F87E7D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D797B32"/>
    <w:multiLevelType w:val="hybridMultilevel"/>
    <w:tmpl w:val="DDEE72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6C07A6"/>
    <w:multiLevelType w:val="hybridMultilevel"/>
    <w:tmpl w:val="34446E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BFA78B5"/>
    <w:multiLevelType w:val="hybridMultilevel"/>
    <w:tmpl w:val="78DA9F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525E3637"/>
    <w:multiLevelType w:val="hybridMultilevel"/>
    <w:tmpl w:val="F77629AE"/>
    <w:lvl w:ilvl="0" w:tplc="6082B6E6">
      <w:numFmt w:val="bullet"/>
      <w:lvlText w:val="–"/>
      <w:lvlJc w:val="left"/>
      <w:pPr>
        <w:ind w:left="421" w:hanging="314"/>
      </w:pPr>
      <w:rPr>
        <w:rFonts w:ascii="Times New Roman" w:eastAsia="Times New Roman" w:hAnsi="Times New Roman" w:cs="Times New Roman" w:hint="default"/>
        <w:color w:val="auto"/>
        <w:w w:val="100"/>
        <w:sz w:val="20"/>
        <w:szCs w:val="20"/>
        <w:lang w:val="pl-PL" w:eastAsia="en-US" w:bidi="ar-SA"/>
      </w:rPr>
    </w:lvl>
    <w:lvl w:ilvl="1" w:tplc="04B00D48">
      <w:numFmt w:val="bullet"/>
      <w:lvlText w:val="•"/>
      <w:lvlJc w:val="left"/>
      <w:pPr>
        <w:ind w:left="1341" w:hanging="314"/>
      </w:pPr>
      <w:rPr>
        <w:rFonts w:hint="default"/>
        <w:lang w:val="pl-PL" w:eastAsia="en-US" w:bidi="ar-SA"/>
      </w:rPr>
    </w:lvl>
    <w:lvl w:ilvl="2" w:tplc="084A721E">
      <w:numFmt w:val="bullet"/>
      <w:lvlText w:val="•"/>
      <w:lvlJc w:val="left"/>
      <w:pPr>
        <w:ind w:left="2263" w:hanging="314"/>
      </w:pPr>
      <w:rPr>
        <w:rFonts w:hint="default"/>
        <w:lang w:val="pl-PL" w:eastAsia="en-US" w:bidi="ar-SA"/>
      </w:rPr>
    </w:lvl>
    <w:lvl w:ilvl="3" w:tplc="6E4E370C">
      <w:numFmt w:val="bullet"/>
      <w:lvlText w:val="•"/>
      <w:lvlJc w:val="left"/>
      <w:pPr>
        <w:ind w:left="3185" w:hanging="314"/>
      </w:pPr>
      <w:rPr>
        <w:rFonts w:hint="default"/>
        <w:lang w:val="pl-PL" w:eastAsia="en-US" w:bidi="ar-SA"/>
      </w:rPr>
    </w:lvl>
    <w:lvl w:ilvl="4" w:tplc="16563A9A">
      <w:numFmt w:val="bullet"/>
      <w:lvlText w:val="•"/>
      <w:lvlJc w:val="left"/>
      <w:pPr>
        <w:ind w:left="4107" w:hanging="314"/>
      </w:pPr>
      <w:rPr>
        <w:rFonts w:hint="default"/>
        <w:lang w:val="pl-PL" w:eastAsia="en-US" w:bidi="ar-SA"/>
      </w:rPr>
    </w:lvl>
    <w:lvl w:ilvl="5" w:tplc="78DC033A">
      <w:numFmt w:val="bullet"/>
      <w:lvlText w:val="•"/>
      <w:lvlJc w:val="left"/>
      <w:pPr>
        <w:ind w:left="5029" w:hanging="314"/>
      </w:pPr>
      <w:rPr>
        <w:rFonts w:hint="default"/>
        <w:lang w:val="pl-PL" w:eastAsia="en-US" w:bidi="ar-SA"/>
      </w:rPr>
    </w:lvl>
    <w:lvl w:ilvl="6" w:tplc="2F4AB158">
      <w:numFmt w:val="bullet"/>
      <w:lvlText w:val="•"/>
      <w:lvlJc w:val="left"/>
      <w:pPr>
        <w:ind w:left="5951" w:hanging="314"/>
      </w:pPr>
      <w:rPr>
        <w:rFonts w:hint="default"/>
        <w:lang w:val="pl-PL" w:eastAsia="en-US" w:bidi="ar-SA"/>
      </w:rPr>
    </w:lvl>
    <w:lvl w:ilvl="7" w:tplc="058C04D0">
      <w:numFmt w:val="bullet"/>
      <w:lvlText w:val="•"/>
      <w:lvlJc w:val="left"/>
      <w:pPr>
        <w:ind w:left="6873" w:hanging="314"/>
      </w:pPr>
      <w:rPr>
        <w:rFonts w:hint="default"/>
        <w:lang w:val="pl-PL" w:eastAsia="en-US" w:bidi="ar-SA"/>
      </w:rPr>
    </w:lvl>
    <w:lvl w:ilvl="8" w:tplc="1AFA2D86">
      <w:numFmt w:val="bullet"/>
      <w:lvlText w:val="•"/>
      <w:lvlJc w:val="left"/>
      <w:pPr>
        <w:ind w:left="7795" w:hanging="314"/>
      </w:pPr>
      <w:rPr>
        <w:rFonts w:hint="default"/>
        <w:lang w:val="pl-PL" w:eastAsia="en-US" w:bidi="ar-SA"/>
      </w:rPr>
    </w:lvl>
  </w:abstractNum>
  <w:abstractNum w:abstractNumId="10" w15:restartNumberingAfterBreak="0">
    <w:nsid w:val="5819737E"/>
    <w:multiLevelType w:val="hybridMultilevel"/>
    <w:tmpl w:val="E102BAC4"/>
    <w:lvl w:ilvl="0" w:tplc="93A8179C">
      <w:start w:val="3"/>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AFF2555"/>
    <w:multiLevelType w:val="hybridMultilevel"/>
    <w:tmpl w:val="9BBAA0D6"/>
    <w:lvl w:ilvl="0" w:tplc="7C1A51B2">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D5547CC"/>
    <w:multiLevelType w:val="hybridMultilevel"/>
    <w:tmpl w:val="38D6B9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CFB0839"/>
    <w:multiLevelType w:val="hybridMultilevel"/>
    <w:tmpl w:val="60586770"/>
    <w:lvl w:ilvl="0" w:tplc="75BAFD5C">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2246369">
    <w:abstractNumId w:val="11"/>
  </w:num>
  <w:num w:numId="2" w16cid:durableId="1639723000">
    <w:abstractNumId w:val="10"/>
  </w:num>
  <w:num w:numId="3" w16cid:durableId="1195540259">
    <w:abstractNumId w:val="13"/>
  </w:num>
  <w:num w:numId="4" w16cid:durableId="335498140">
    <w:abstractNumId w:val="2"/>
  </w:num>
  <w:num w:numId="5" w16cid:durableId="1327173921">
    <w:abstractNumId w:val="6"/>
  </w:num>
  <w:num w:numId="6" w16cid:durableId="575089416">
    <w:abstractNumId w:val="7"/>
  </w:num>
  <w:num w:numId="7" w16cid:durableId="1115364442">
    <w:abstractNumId w:val="5"/>
  </w:num>
  <w:num w:numId="8" w16cid:durableId="777287932">
    <w:abstractNumId w:val="8"/>
  </w:num>
  <w:num w:numId="9" w16cid:durableId="607932979">
    <w:abstractNumId w:val="9"/>
  </w:num>
  <w:num w:numId="10" w16cid:durableId="546914268">
    <w:abstractNumId w:val="1"/>
  </w:num>
  <w:num w:numId="11" w16cid:durableId="1333412257">
    <w:abstractNumId w:val="12"/>
  </w:num>
  <w:num w:numId="12" w16cid:durableId="839661495">
    <w:abstractNumId w:val="4"/>
  </w:num>
  <w:num w:numId="13" w16cid:durableId="2099590996">
    <w:abstractNumId w:val="0"/>
  </w:num>
  <w:num w:numId="14" w16cid:durableId="5353148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cprzak, Karolina, (mBank/DTB)">
    <w15:presenceInfo w15:providerId="AD" w15:userId="S::Karolina.Kacprzak@mbank.pl::faf69630-e80b-4414-85c8-db694850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C22"/>
    <w:rsid w:val="00003F83"/>
    <w:rsid w:val="000120D1"/>
    <w:rsid w:val="00012D8D"/>
    <w:rsid w:val="00023314"/>
    <w:rsid w:val="0004597A"/>
    <w:rsid w:val="0005252D"/>
    <w:rsid w:val="00057148"/>
    <w:rsid w:val="00066F0B"/>
    <w:rsid w:val="00071B0E"/>
    <w:rsid w:val="00081095"/>
    <w:rsid w:val="000909AD"/>
    <w:rsid w:val="000A17DC"/>
    <w:rsid w:val="000C44CC"/>
    <w:rsid w:val="000D03A6"/>
    <w:rsid w:val="000D0639"/>
    <w:rsid w:val="000D50A5"/>
    <w:rsid w:val="000E2DFF"/>
    <w:rsid w:val="000E2F0D"/>
    <w:rsid w:val="000F0AE0"/>
    <w:rsid w:val="000F440E"/>
    <w:rsid w:val="00100DD4"/>
    <w:rsid w:val="001023B1"/>
    <w:rsid w:val="00110283"/>
    <w:rsid w:val="00115301"/>
    <w:rsid w:val="00124F39"/>
    <w:rsid w:val="0012596A"/>
    <w:rsid w:val="0012739C"/>
    <w:rsid w:val="00132ADF"/>
    <w:rsid w:val="00135C5A"/>
    <w:rsid w:val="00141C02"/>
    <w:rsid w:val="00143535"/>
    <w:rsid w:val="001447F7"/>
    <w:rsid w:val="00153F3C"/>
    <w:rsid w:val="00164E46"/>
    <w:rsid w:val="00172515"/>
    <w:rsid w:val="0017678F"/>
    <w:rsid w:val="0018789F"/>
    <w:rsid w:val="001912E6"/>
    <w:rsid w:val="00195129"/>
    <w:rsid w:val="00196DFA"/>
    <w:rsid w:val="0019789B"/>
    <w:rsid w:val="001A4E8A"/>
    <w:rsid w:val="001A67FF"/>
    <w:rsid w:val="001A7072"/>
    <w:rsid w:val="001B72A4"/>
    <w:rsid w:val="001C1FF5"/>
    <w:rsid w:val="001D3583"/>
    <w:rsid w:val="001E0F0B"/>
    <w:rsid w:val="001E5CC8"/>
    <w:rsid w:val="001F5EA3"/>
    <w:rsid w:val="002018CE"/>
    <w:rsid w:val="002076E5"/>
    <w:rsid w:val="00210988"/>
    <w:rsid w:val="00213A39"/>
    <w:rsid w:val="002373CA"/>
    <w:rsid w:val="00252BFA"/>
    <w:rsid w:val="00255C85"/>
    <w:rsid w:val="00255FBA"/>
    <w:rsid w:val="002646F4"/>
    <w:rsid w:val="00270423"/>
    <w:rsid w:val="00270942"/>
    <w:rsid w:val="00277C10"/>
    <w:rsid w:val="002835A8"/>
    <w:rsid w:val="0028522C"/>
    <w:rsid w:val="00291466"/>
    <w:rsid w:val="00291B28"/>
    <w:rsid w:val="00296DDD"/>
    <w:rsid w:val="002A0CA5"/>
    <w:rsid w:val="002B0E65"/>
    <w:rsid w:val="002C456B"/>
    <w:rsid w:val="002C4E83"/>
    <w:rsid w:val="002C6696"/>
    <w:rsid w:val="002D2EDB"/>
    <w:rsid w:val="002E0D0D"/>
    <w:rsid w:val="002E113C"/>
    <w:rsid w:val="002E3F35"/>
    <w:rsid w:val="002E4BB9"/>
    <w:rsid w:val="002E7359"/>
    <w:rsid w:val="002F5D3E"/>
    <w:rsid w:val="002F7123"/>
    <w:rsid w:val="003020C3"/>
    <w:rsid w:val="00312BE3"/>
    <w:rsid w:val="003161B6"/>
    <w:rsid w:val="00320B83"/>
    <w:rsid w:val="00336470"/>
    <w:rsid w:val="003406F2"/>
    <w:rsid w:val="00346240"/>
    <w:rsid w:val="0036151E"/>
    <w:rsid w:val="00362FDC"/>
    <w:rsid w:val="00370D68"/>
    <w:rsid w:val="00376C54"/>
    <w:rsid w:val="00392C50"/>
    <w:rsid w:val="003A6571"/>
    <w:rsid w:val="003B2CAD"/>
    <w:rsid w:val="003C1FD9"/>
    <w:rsid w:val="003C5AC6"/>
    <w:rsid w:val="003C75B6"/>
    <w:rsid w:val="003D0AC7"/>
    <w:rsid w:val="003D2CFC"/>
    <w:rsid w:val="003D425A"/>
    <w:rsid w:val="003F7E75"/>
    <w:rsid w:val="00401BA8"/>
    <w:rsid w:val="00402D39"/>
    <w:rsid w:val="004051FE"/>
    <w:rsid w:val="00425145"/>
    <w:rsid w:val="0043102A"/>
    <w:rsid w:val="004314EE"/>
    <w:rsid w:val="00432EBC"/>
    <w:rsid w:val="00435B60"/>
    <w:rsid w:val="00440843"/>
    <w:rsid w:val="004460C4"/>
    <w:rsid w:val="00446A5C"/>
    <w:rsid w:val="004606C5"/>
    <w:rsid w:val="00465216"/>
    <w:rsid w:val="00473635"/>
    <w:rsid w:val="00474C39"/>
    <w:rsid w:val="0047655D"/>
    <w:rsid w:val="004773CF"/>
    <w:rsid w:val="00477E6C"/>
    <w:rsid w:val="0048057A"/>
    <w:rsid w:val="004A2A39"/>
    <w:rsid w:val="004A3582"/>
    <w:rsid w:val="004A39DD"/>
    <w:rsid w:val="004B0E4F"/>
    <w:rsid w:val="004C5351"/>
    <w:rsid w:val="004E0725"/>
    <w:rsid w:val="004E2DE6"/>
    <w:rsid w:val="004F15D8"/>
    <w:rsid w:val="00510E53"/>
    <w:rsid w:val="00531D6F"/>
    <w:rsid w:val="00535BA4"/>
    <w:rsid w:val="00542E44"/>
    <w:rsid w:val="00543CDB"/>
    <w:rsid w:val="005658A5"/>
    <w:rsid w:val="00590B01"/>
    <w:rsid w:val="00591BBE"/>
    <w:rsid w:val="005A0A5C"/>
    <w:rsid w:val="005A64E9"/>
    <w:rsid w:val="005A6BAC"/>
    <w:rsid w:val="005D65B3"/>
    <w:rsid w:val="005D7087"/>
    <w:rsid w:val="005E494B"/>
    <w:rsid w:val="005F17E8"/>
    <w:rsid w:val="00612690"/>
    <w:rsid w:val="006127C9"/>
    <w:rsid w:val="006177CF"/>
    <w:rsid w:val="00624624"/>
    <w:rsid w:val="00631EC2"/>
    <w:rsid w:val="006356F8"/>
    <w:rsid w:val="00654964"/>
    <w:rsid w:val="006629EE"/>
    <w:rsid w:val="00671930"/>
    <w:rsid w:val="00673A70"/>
    <w:rsid w:val="006843FF"/>
    <w:rsid w:val="0068537A"/>
    <w:rsid w:val="0068789C"/>
    <w:rsid w:val="0069625E"/>
    <w:rsid w:val="006A1F9D"/>
    <w:rsid w:val="006D33A0"/>
    <w:rsid w:val="007054B6"/>
    <w:rsid w:val="0071383C"/>
    <w:rsid w:val="00741192"/>
    <w:rsid w:val="007437A5"/>
    <w:rsid w:val="00744500"/>
    <w:rsid w:val="0075523D"/>
    <w:rsid w:val="007713CC"/>
    <w:rsid w:val="00777839"/>
    <w:rsid w:val="007978A8"/>
    <w:rsid w:val="007A1F22"/>
    <w:rsid w:val="007A45A2"/>
    <w:rsid w:val="007B557D"/>
    <w:rsid w:val="007C09F8"/>
    <w:rsid w:val="007E3E4D"/>
    <w:rsid w:val="007F5326"/>
    <w:rsid w:val="007F5682"/>
    <w:rsid w:val="007F577D"/>
    <w:rsid w:val="007F740E"/>
    <w:rsid w:val="0080292F"/>
    <w:rsid w:val="00811043"/>
    <w:rsid w:val="00822EA1"/>
    <w:rsid w:val="00832722"/>
    <w:rsid w:val="0085178A"/>
    <w:rsid w:val="00853C54"/>
    <w:rsid w:val="00861704"/>
    <w:rsid w:val="00863C2B"/>
    <w:rsid w:val="00870B07"/>
    <w:rsid w:val="00871C05"/>
    <w:rsid w:val="00872A0B"/>
    <w:rsid w:val="008855A1"/>
    <w:rsid w:val="00887A20"/>
    <w:rsid w:val="008935B5"/>
    <w:rsid w:val="008966F0"/>
    <w:rsid w:val="008A06E3"/>
    <w:rsid w:val="008B07A8"/>
    <w:rsid w:val="008B5F89"/>
    <w:rsid w:val="008D10FE"/>
    <w:rsid w:val="008D4C7A"/>
    <w:rsid w:val="008E2987"/>
    <w:rsid w:val="008F2AD2"/>
    <w:rsid w:val="00900512"/>
    <w:rsid w:val="00912186"/>
    <w:rsid w:val="00920895"/>
    <w:rsid w:val="00921952"/>
    <w:rsid w:val="00922FDD"/>
    <w:rsid w:val="009314DE"/>
    <w:rsid w:val="0093176F"/>
    <w:rsid w:val="00937B7E"/>
    <w:rsid w:val="00940501"/>
    <w:rsid w:val="00950A85"/>
    <w:rsid w:val="00951AC7"/>
    <w:rsid w:val="00952F99"/>
    <w:rsid w:val="009547B8"/>
    <w:rsid w:val="00972746"/>
    <w:rsid w:val="00973DA3"/>
    <w:rsid w:val="0099416B"/>
    <w:rsid w:val="0099664D"/>
    <w:rsid w:val="00996793"/>
    <w:rsid w:val="009C5D17"/>
    <w:rsid w:val="009D4E65"/>
    <w:rsid w:val="009E3797"/>
    <w:rsid w:val="009E7655"/>
    <w:rsid w:val="009F5C8F"/>
    <w:rsid w:val="00A02ABA"/>
    <w:rsid w:val="00A10318"/>
    <w:rsid w:val="00A169C2"/>
    <w:rsid w:val="00A2470E"/>
    <w:rsid w:val="00A24AF7"/>
    <w:rsid w:val="00A346A4"/>
    <w:rsid w:val="00A36830"/>
    <w:rsid w:val="00A5324D"/>
    <w:rsid w:val="00A60302"/>
    <w:rsid w:val="00A67DFD"/>
    <w:rsid w:val="00A80C58"/>
    <w:rsid w:val="00A81D98"/>
    <w:rsid w:val="00A8680A"/>
    <w:rsid w:val="00AB3C72"/>
    <w:rsid w:val="00AB772C"/>
    <w:rsid w:val="00AC4921"/>
    <w:rsid w:val="00AD7CA0"/>
    <w:rsid w:val="00AE0AF7"/>
    <w:rsid w:val="00AE22AA"/>
    <w:rsid w:val="00AE3B23"/>
    <w:rsid w:val="00AF6E90"/>
    <w:rsid w:val="00B00146"/>
    <w:rsid w:val="00B0054F"/>
    <w:rsid w:val="00B00632"/>
    <w:rsid w:val="00B06A18"/>
    <w:rsid w:val="00B10CD9"/>
    <w:rsid w:val="00B20D12"/>
    <w:rsid w:val="00B21EC9"/>
    <w:rsid w:val="00B23E52"/>
    <w:rsid w:val="00B23F7E"/>
    <w:rsid w:val="00B52FC5"/>
    <w:rsid w:val="00B53C77"/>
    <w:rsid w:val="00B84559"/>
    <w:rsid w:val="00B86D08"/>
    <w:rsid w:val="00B90F31"/>
    <w:rsid w:val="00B93442"/>
    <w:rsid w:val="00BB2D93"/>
    <w:rsid w:val="00BB7546"/>
    <w:rsid w:val="00BC5703"/>
    <w:rsid w:val="00BC6170"/>
    <w:rsid w:val="00BD59E8"/>
    <w:rsid w:val="00C0090C"/>
    <w:rsid w:val="00C01E22"/>
    <w:rsid w:val="00C01EFB"/>
    <w:rsid w:val="00C042D7"/>
    <w:rsid w:val="00C05345"/>
    <w:rsid w:val="00C13ECE"/>
    <w:rsid w:val="00C16D93"/>
    <w:rsid w:val="00C34352"/>
    <w:rsid w:val="00C405B7"/>
    <w:rsid w:val="00C513B4"/>
    <w:rsid w:val="00C60006"/>
    <w:rsid w:val="00C61580"/>
    <w:rsid w:val="00C72BC7"/>
    <w:rsid w:val="00C812DD"/>
    <w:rsid w:val="00C82C82"/>
    <w:rsid w:val="00C86522"/>
    <w:rsid w:val="00CB520F"/>
    <w:rsid w:val="00CB6F30"/>
    <w:rsid w:val="00CD2B60"/>
    <w:rsid w:val="00CD2EF3"/>
    <w:rsid w:val="00CD4308"/>
    <w:rsid w:val="00CF7089"/>
    <w:rsid w:val="00D04A06"/>
    <w:rsid w:val="00D058D1"/>
    <w:rsid w:val="00D10C7D"/>
    <w:rsid w:val="00D13E2B"/>
    <w:rsid w:val="00D1700B"/>
    <w:rsid w:val="00D2267A"/>
    <w:rsid w:val="00D249F3"/>
    <w:rsid w:val="00D255A9"/>
    <w:rsid w:val="00D45559"/>
    <w:rsid w:val="00D46743"/>
    <w:rsid w:val="00D5170E"/>
    <w:rsid w:val="00D533C6"/>
    <w:rsid w:val="00D5742B"/>
    <w:rsid w:val="00D6636F"/>
    <w:rsid w:val="00D7064C"/>
    <w:rsid w:val="00D77164"/>
    <w:rsid w:val="00D8314A"/>
    <w:rsid w:val="00D90599"/>
    <w:rsid w:val="00D93A60"/>
    <w:rsid w:val="00D95AA9"/>
    <w:rsid w:val="00D9603C"/>
    <w:rsid w:val="00DA5041"/>
    <w:rsid w:val="00DA6814"/>
    <w:rsid w:val="00DB12A1"/>
    <w:rsid w:val="00DB4327"/>
    <w:rsid w:val="00DB530F"/>
    <w:rsid w:val="00DC7AF1"/>
    <w:rsid w:val="00DD0800"/>
    <w:rsid w:val="00DD68D5"/>
    <w:rsid w:val="00DE500A"/>
    <w:rsid w:val="00DE5562"/>
    <w:rsid w:val="00E02567"/>
    <w:rsid w:val="00E02D17"/>
    <w:rsid w:val="00E03D8E"/>
    <w:rsid w:val="00E057C6"/>
    <w:rsid w:val="00E26E1C"/>
    <w:rsid w:val="00E445D7"/>
    <w:rsid w:val="00E46D75"/>
    <w:rsid w:val="00E86486"/>
    <w:rsid w:val="00E91C94"/>
    <w:rsid w:val="00EA0670"/>
    <w:rsid w:val="00EA1C22"/>
    <w:rsid w:val="00EB3A1E"/>
    <w:rsid w:val="00EE575A"/>
    <w:rsid w:val="00EF45DD"/>
    <w:rsid w:val="00EF63EF"/>
    <w:rsid w:val="00F12EA9"/>
    <w:rsid w:val="00F203ED"/>
    <w:rsid w:val="00F32286"/>
    <w:rsid w:val="00F37B0B"/>
    <w:rsid w:val="00F42356"/>
    <w:rsid w:val="00F44278"/>
    <w:rsid w:val="00F648BE"/>
    <w:rsid w:val="00F74466"/>
    <w:rsid w:val="00F773F3"/>
    <w:rsid w:val="00F80A02"/>
    <w:rsid w:val="00F80A03"/>
    <w:rsid w:val="00F814A2"/>
    <w:rsid w:val="00F8662D"/>
    <w:rsid w:val="00F94BAD"/>
    <w:rsid w:val="00FA1063"/>
    <w:rsid w:val="00FB012D"/>
    <w:rsid w:val="00FB73BB"/>
    <w:rsid w:val="00FC5DED"/>
    <w:rsid w:val="00FD125F"/>
    <w:rsid w:val="00FD2847"/>
    <w:rsid w:val="00FD297B"/>
    <w:rsid w:val="00FD2D4F"/>
    <w:rsid w:val="00FD7A0B"/>
    <w:rsid w:val="00FE44E5"/>
    <w:rsid w:val="00FF1FAB"/>
    <w:rsid w:val="00FF2A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969C"/>
  <w15:docId w15:val="{8AC4FA70-B300-49E7-942B-932A9A663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link w:val="Nagwek3Znak"/>
    <w:uiPriority w:val="9"/>
    <w:semiHidden/>
    <w:unhideWhenUsed/>
    <w:qFormat/>
    <w:rsid w:val="00FE44E5"/>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A1C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A1C22"/>
  </w:style>
  <w:style w:type="paragraph" w:styleId="Tekstprzypisudolnego">
    <w:name w:val="footnote text"/>
    <w:basedOn w:val="Normalny"/>
    <w:link w:val="TekstprzypisudolnegoZnak"/>
    <w:uiPriority w:val="99"/>
    <w:semiHidden/>
    <w:unhideWhenUsed/>
    <w:rsid w:val="00EA1C2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A1C22"/>
    <w:rPr>
      <w:sz w:val="20"/>
      <w:szCs w:val="20"/>
    </w:rPr>
  </w:style>
  <w:style w:type="character" w:styleId="Odwoanieprzypisudolnego">
    <w:name w:val="footnote reference"/>
    <w:uiPriority w:val="99"/>
    <w:semiHidden/>
    <w:rsid w:val="00EA1C22"/>
    <w:rPr>
      <w:rFonts w:cs="Times New Roman"/>
      <w:vertAlign w:val="superscript"/>
    </w:rPr>
  </w:style>
  <w:style w:type="paragraph" w:styleId="Akapitzlist">
    <w:name w:val="List Paragraph"/>
    <w:basedOn w:val="Normalny"/>
    <w:uiPriority w:val="34"/>
    <w:qFormat/>
    <w:rsid w:val="00EA1C22"/>
    <w:pPr>
      <w:widowControl w:val="0"/>
      <w:autoSpaceDE w:val="0"/>
      <w:autoSpaceDN w:val="0"/>
      <w:adjustRightInd w:val="0"/>
      <w:spacing w:after="0" w:line="360" w:lineRule="auto"/>
      <w:ind w:left="720"/>
      <w:contextualSpacing/>
    </w:pPr>
    <w:rPr>
      <w:rFonts w:ascii="Times New Roman" w:eastAsia="Times New Roman" w:hAnsi="Times New Roman" w:cs="Arial"/>
      <w:sz w:val="24"/>
      <w:szCs w:val="20"/>
      <w:lang w:eastAsia="pl-PL"/>
    </w:rPr>
  </w:style>
  <w:style w:type="table" w:customStyle="1" w:styleId="Tabela-Siatka111">
    <w:name w:val="Tabela - Siatka111"/>
    <w:basedOn w:val="Standardowy"/>
    <w:next w:val="Tabela-Siatka"/>
    <w:rsid w:val="00EA1C2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EA1C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EA1C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A1C22"/>
  </w:style>
  <w:style w:type="paragraph" w:styleId="Tekstdymka">
    <w:name w:val="Balloon Text"/>
    <w:basedOn w:val="Normalny"/>
    <w:link w:val="TekstdymkaZnak"/>
    <w:uiPriority w:val="99"/>
    <w:semiHidden/>
    <w:unhideWhenUsed/>
    <w:rsid w:val="007E3E4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3E4D"/>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AC492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C4921"/>
    <w:rPr>
      <w:sz w:val="20"/>
      <w:szCs w:val="20"/>
    </w:rPr>
  </w:style>
  <w:style w:type="character" w:styleId="Odwoanieprzypisukocowego">
    <w:name w:val="endnote reference"/>
    <w:basedOn w:val="Domylnaczcionkaakapitu"/>
    <w:uiPriority w:val="99"/>
    <w:semiHidden/>
    <w:unhideWhenUsed/>
    <w:rsid w:val="00AC4921"/>
    <w:rPr>
      <w:vertAlign w:val="superscript"/>
    </w:rPr>
  </w:style>
  <w:style w:type="paragraph" w:styleId="Poprawka">
    <w:name w:val="Revision"/>
    <w:hidden/>
    <w:uiPriority w:val="99"/>
    <w:semiHidden/>
    <w:rsid w:val="002B0E65"/>
    <w:pPr>
      <w:spacing w:after="0" w:line="240" w:lineRule="auto"/>
    </w:pPr>
  </w:style>
  <w:style w:type="character" w:styleId="Odwoaniedokomentarza">
    <w:name w:val="annotation reference"/>
    <w:basedOn w:val="Domylnaczcionkaakapitu"/>
    <w:uiPriority w:val="99"/>
    <w:unhideWhenUsed/>
    <w:rsid w:val="00B93442"/>
    <w:rPr>
      <w:sz w:val="16"/>
      <w:szCs w:val="16"/>
    </w:rPr>
  </w:style>
  <w:style w:type="paragraph" w:styleId="Tekstkomentarza">
    <w:name w:val="annotation text"/>
    <w:basedOn w:val="Normalny"/>
    <w:link w:val="TekstkomentarzaZnak"/>
    <w:uiPriority w:val="99"/>
    <w:unhideWhenUsed/>
    <w:rsid w:val="00B93442"/>
    <w:pPr>
      <w:spacing w:line="240" w:lineRule="auto"/>
    </w:pPr>
    <w:rPr>
      <w:sz w:val="20"/>
      <w:szCs w:val="20"/>
    </w:rPr>
  </w:style>
  <w:style w:type="character" w:customStyle="1" w:styleId="TekstkomentarzaZnak">
    <w:name w:val="Tekst komentarza Znak"/>
    <w:basedOn w:val="Domylnaczcionkaakapitu"/>
    <w:link w:val="Tekstkomentarza"/>
    <w:uiPriority w:val="99"/>
    <w:rsid w:val="00B93442"/>
    <w:rPr>
      <w:sz w:val="20"/>
      <w:szCs w:val="20"/>
    </w:rPr>
  </w:style>
  <w:style w:type="paragraph" w:styleId="Tematkomentarza">
    <w:name w:val="annotation subject"/>
    <w:basedOn w:val="Tekstkomentarza"/>
    <w:next w:val="Tekstkomentarza"/>
    <w:link w:val="TematkomentarzaZnak"/>
    <w:uiPriority w:val="99"/>
    <w:semiHidden/>
    <w:unhideWhenUsed/>
    <w:rsid w:val="00B93442"/>
    <w:rPr>
      <w:b/>
      <w:bCs/>
    </w:rPr>
  </w:style>
  <w:style w:type="character" w:customStyle="1" w:styleId="TematkomentarzaZnak">
    <w:name w:val="Temat komentarza Znak"/>
    <w:basedOn w:val="TekstkomentarzaZnak"/>
    <w:link w:val="Tematkomentarza"/>
    <w:uiPriority w:val="99"/>
    <w:semiHidden/>
    <w:rsid w:val="00B93442"/>
    <w:rPr>
      <w:b/>
      <w:bCs/>
      <w:sz w:val="20"/>
      <w:szCs w:val="20"/>
    </w:rPr>
  </w:style>
  <w:style w:type="paragraph" w:styleId="Tekstpodstawowy">
    <w:name w:val="Body Text"/>
    <w:basedOn w:val="Normalny"/>
    <w:link w:val="TekstpodstawowyZnak"/>
    <w:uiPriority w:val="1"/>
    <w:qFormat/>
    <w:rsid w:val="00132ADF"/>
    <w:pPr>
      <w:widowControl w:val="0"/>
      <w:autoSpaceDE w:val="0"/>
      <w:autoSpaceDN w:val="0"/>
      <w:spacing w:before="130" w:after="0" w:line="240" w:lineRule="auto"/>
      <w:ind w:left="641" w:firstLine="420"/>
      <w:jc w:val="both"/>
    </w:pPr>
    <w:rPr>
      <w:rFonts w:ascii="Times New Roman" w:eastAsia="Times New Roman" w:hAnsi="Times New Roman" w:cs="Times New Roman"/>
      <w:sz w:val="20"/>
      <w:szCs w:val="20"/>
    </w:rPr>
  </w:style>
  <w:style w:type="character" w:customStyle="1" w:styleId="TekstpodstawowyZnak">
    <w:name w:val="Tekst podstawowy Znak"/>
    <w:basedOn w:val="Domylnaczcionkaakapitu"/>
    <w:link w:val="Tekstpodstawowy"/>
    <w:uiPriority w:val="1"/>
    <w:rsid w:val="00132ADF"/>
    <w:rPr>
      <w:rFonts w:ascii="Times New Roman" w:eastAsia="Times New Roman" w:hAnsi="Times New Roman" w:cs="Times New Roman"/>
      <w:sz w:val="20"/>
      <w:szCs w:val="20"/>
    </w:rPr>
  </w:style>
  <w:style w:type="paragraph" w:customStyle="1" w:styleId="04xlpa">
    <w:name w:val="_04xlpa"/>
    <w:basedOn w:val="Normalny"/>
    <w:rsid w:val="00132AD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1ppyq">
    <w:name w:val="s1ppyq"/>
    <w:basedOn w:val="Domylnaczcionkaakapitu"/>
    <w:rsid w:val="00132ADF"/>
  </w:style>
  <w:style w:type="table" w:customStyle="1" w:styleId="TableNormal">
    <w:name w:val="Table Normal"/>
    <w:uiPriority w:val="2"/>
    <w:semiHidden/>
    <w:unhideWhenUsed/>
    <w:qFormat/>
    <w:rsid w:val="00B0063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B00632"/>
    <w:pPr>
      <w:widowControl w:val="0"/>
      <w:autoSpaceDE w:val="0"/>
      <w:autoSpaceDN w:val="0"/>
      <w:spacing w:after="0" w:line="240" w:lineRule="auto"/>
    </w:pPr>
    <w:rPr>
      <w:rFonts w:ascii="Times New Roman" w:eastAsia="Times New Roman" w:hAnsi="Times New Roman" w:cs="Times New Roman"/>
    </w:rPr>
  </w:style>
  <w:style w:type="character" w:styleId="Hipercze">
    <w:name w:val="Hyperlink"/>
    <w:basedOn w:val="Domylnaczcionkaakapitu"/>
    <w:uiPriority w:val="99"/>
    <w:unhideWhenUsed/>
    <w:rsid w:val="0036151E"/>
    <w:rPr>
      <w:color w:val="0563C1" w:themeColor="hyperlink"/>
      <w:u w:val="single"/>
    </w:rPr>
  </w:style>
  <w:style w:type="character" w:styleId="UyteHipercze">
    <w:name w:val="FollowedHyperlink"/>
    <w:basedOn w:val="Domylnaczcionkaakapitu"/>
    <w:uiPriority w:val="99"/>
    <w:semiHidden/>
    <w:unhideWhenUsed/>
    <w:rsid w:val="00591BBE"/>
    <w:rPr>
      <w:color w:val="954F72" w:themeColor="followedHyperlink"/>
      <w:u w:val="single"/>
    </w:rPr>
  </w:style>
  <w:style w:type="paragraph" w:customStyle="1" w:styleId="Default">
    <w:name w:val="Default"/>
    <w:rsid w:val="00AB3C7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3Znak">
    <w:name w:val="Nagłówek 3 Znak"/>
    <w:basedOn w:val="Domylnaczcionkaakapitu"/>
    <w:link w:val="Nagwek3"/>
    <w:uiPriority w:val="9"/>
    <w:semiHidden/>
    <w:rsid w:val="00FE44E5"/>
    <w:rPr>
      <w:rFonts w:ascii="Times New Roman" w:eastAsia="Times New Roman" w:hAnsi="Times New Roman" w:cs="Times New Roman"/>
      <w:b/>
      <w:bCs/>
      <w:sz w:val="27"/>
      <w:szCs w:val="27"/>
      <w:lang w:eastAsia="pl-PL"/>
    </w:rPr>
  </w:style>
  <w:style w:type="paragraph" w:styleId="NormalnyWeb">
    <w:name w:val="Normal (Web)"/>
    <w:basedOn w:val="Normalny"/>
    <w:uiPriority w:val="99"/>
    <w:semiHidden/>
    <w:unhideWhenUsed/>
    <w:rsid w:val="00FE44E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msolistparagraph">
    <w:name w:val="x_msolistparagraph"/>
    <w:basedOn w:val="Normalny"/>
    <w:rsid w:val="000E2F0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43483">
      <w:bodyDiv w:val="1"/>
      <w:marLeft w:val="0"/>
      <w:marRight w:val="0"/>
      <w:marTop w:val="0"/>
      <w:marBottom w:val="0"/>
      <w:divBdr>
        <w:top w:val="none" w:sz="0" w:space="0" w:color="auto"/>
        <w:left w:val="none" w:sz="0" w:space="0" w:color="auto"/>
        <w:bottom w:val="none" w:sz="0" w:space="0" w:color="auto"/>
        <w:right w:val="none" w:sz="0" w:space="0" w:color="auto"/>
      </w:divBdr>
    </w:div>
    <w:div w:id="500509609">
      <w:bodyDiv w:val="1"/>
      <w:marLeft w:val="0"/>
      <w:marRight w:val="0"/>
      <w:marTop w:val="0"/>
      <w:marBottom w:val="0"/>
      <w:divBdr>
        <w:top w:val="none" w:sz="0" w:space="0" w:color="auto"/>
        <w:left w:val="none" w:sz="0" w:space="0" w:color="auto"/>
        <w:bottom w:val="none" w:sz="0" w:space="0" w:color="auto"/>
        <w:right w:val="none" w:sz="0" w:space="0" w:color="auto"/>
      </w:divBdr>
    </w:div>
    <w:div w:id="684864879">
      <w:bodyDiv w:val="1"/>
      <w:marLeft w:val="0"/>
      <w:marRight w:val="0"/>
      <w:marTop w:val="0"/>
      <w:marBottom w:val="0"/>
      <w:divBdr>
        <w:top w:val="none" w:sz="0" w:space="0" w:color="auto"/>
        <w:left w:val="none" w:sz="0" w:space="0" w:color="auto"/>
        <w:bottom w:val="none" w:sz="0" w:space="0" w:color="auto"/>
        <w:right w:val="none" w:sz="0" w:space="0" w:color="auto"/>
      </w:divBdr>
    </w:div>
    <w:div w:id="705301182">
      <w:bodyDiv w:val="1"/>
      <w:marLeft w:val="0"/>
      <w:marRight w:val="0"/>
      <w:marTop w:val="0"/>
      <w:marBottom w:val="0"/>
      <w:divBdr>
        <w:top w:val="none" w:sz="0" w:space="0" w:color="auto"/>
        <w:left w:val="none" w:sz="0" w:space="0" w:color="auto"/>
        <w:bottom w:val="none" w:sz="0" w:space="0" w:color="auto"/>
        <w:right w:val="none" w:sz="0" w:space="0" w:color="auto"/>
      </w:divBdr>
    </w:div>
    <w:div w:id="1058823124">
      <w:bodyDiv w:val="1"/>
      <w:marLeft w:val="0"/>
      <w:marRight w:val="0"/>
      <w:marTop w:val="0"/>
      <w:marBottom w:val="0"/>
      <w:divBdr>
        <w:top w:val="none" w:sz="0" w:space="0" w:color="auto"/>
        <w:left w:val="none" w:sz="0" w:space="0" w:color="auto"/>
        <w:bottom w:val="none" w:sz="0" w:space="0" w:color="auto"/>
        <w:right w:val="none" w:sz="0" w:space="0" w:color="auto"/>
      </w:divBdr>
    </w:div>
    <w:div w:id="1155488294">
      <w:bodyDiv w:val="1"/>
      <w:marLeft w:val="0"/>
      <w:marRight w:val="0"/>
      <w:marTop w:val="0"/>
      <w:marBottom w:val="0"/>
      <w:divBdr>
        <w:top w:val="none" w:sz="0" w:space="0" w:color="auto"/>
        <w:left w:val="none" w:sz="0" w:space="0" w:color="auto"/>
        <w:bottom w:val="none" w:sz="0" w:space="0" w:color="auto"/>
        <w:right w:val="none" w:sz="0" w:space="0" w:color="auto"/>
      </w:divBdr>
    </w:div>
    <w:div w:id="1173035618">
      <w:bodyDiv w:val="1"/>
      <w:marLeft w:val="0"/>
      <w:marRight w:val="0"/>
      <w:marTop w:val="0"/>
      <w:marBottom w:val="0"/>
      <w:divBdr>
        <w:top w:val="none" w:sz="0" w:space="0" w:color="auto"/>
        <w:left w:val="none" w:sz="0" w:space="0" w:color="auto"/>
        <w:bottom w:val="none" w:sz="0" w:space="0" w:color="auto"/>
        <w:right w:val="none" w:sz="0" w:space="0" w:color="auto"/>
      </w:divBdr>
    </w:div>
    <w:div w:id="1256936267">
      <w:bodyDiv w:val="1"/>
      <w:marLeft w:val="0"/>
      <w:marRight w:val="0"/>
      <w:marTop w:val="0"/>
      <w:marBottom w:val="0"/>
      <w:divBdr>
        <w:top w:val="none" w:sz="0" w:space="0" w:color="auto"/>
        <w:left w:val="none" w:sz="0" w:space="0" w:color="auto"/>
        <w:bottom w:val="none" w:sz="0" w:space="0" w:color="auto"/>
        <w:right w:val="none" w:sz="0" w:space="0" w:color="auto"/>
      </w:divBdr>
    </w:div>
    <w:div w:id="1309168176">
      <w:bodyDiv w:val="1"/>
      <w:marLeft w:val="0"/>
      <w:marRight w:val="0"/>
      <w:marTop w:val="0"/>
      <w:marBottom w:val="0"/>
      <w:divBdr>
        <w:top w:val="none" w:sz="0" w:space="0" w:color="auto"/>
        <w:left w:val="none" w:sz="0" w:space="0" w:color="auto"/>
        <w:bottom w:val="none" w:sz="0" w:space="0" w:color="auto"/>
        <w:right w:val="none" w:sz="0" w:space="0" w:color="auto"/>
      </w:divBdr>
    </w:div>
    <w:div w:id="1358576574">
      <w:bodyDiv w:val="1"/>
      <w:marLeft w:val="0"/>
      <w:marRight w:val="0"/>
      <w:marTop w:val="0"/>
      <w:marBottom w:val="0"/>
      <w:divBdr>
        <w:top w:val="none" w:sz="0" w:space="0" w:color="auto"/>
        <w:left w:val="none" w:sz="0" w:space="0" w:color="auto"/>
        <w:bottom w:val="none" w:sz="0" w:space="0" w:color="auto"/>
        <w:right w:val="none" w:sz="0" w:space="0" w:color="auto"/>
      </w:divBdr>
    </w:div>
    <w:div w:id="1472674584">
      <w:bodyDiv w:val="1"/>
      <w:marLeft w:val="0"/>
      <w:marRight w:val="0"/>
      <w:marTop w:val="0"/>
      <w:marBottom w:val="0"/>
      <w:divBdr>
        <w:top w:val="none" w:sz="0" w:space="0" w:color="auto"/>
        <w:left w:val="none" w:sz="0" w:space="0" w:color="auto"/>
        <w:bottom w:val="none" w:sz="0" w:space="0" w:color="auto"/>
        <w:right w:val="none" w:sz="0" w:space="0" w:color="auto"/>
      </w:divBdr>
    </w:div>
    <w:div w:id="153643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u.bydgoszcz.pl/plany" TargetMode="External"/><Relationship Id="rId13" Type="http://schemas.openxmlformats.org/officeDocument/2006/relationships/hyperlink" Target="https://bip.um.bydgoszcz.pl" TargetMode="External"/><Relationship Id="rId18" Type="http://schemas.openxmlformats.org/officeDocument/2006/relationships/hyperlink" Target="https://bip.um.bydgoszcz.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bip.um.bydgoszcz.pl" TargetMode="External"/><Relationship Id="rId7" Type="http://schemas.openxmlformats.org/officeDocument/2006/relationships/endnotes" Target="endnotes.xml"/><Relationship Id="rId12" Type="http://schemas.openxmlformats.org/officeDocument/2006/relationships/hyperlink" Target="https://bip.um.bydgoszcz.pl" TargetMode="External"/><Relationship Id="rId17" Type="http://schemas.openxmlformats.org/officeDocument/2006/relationships/hyperlink" Target="https://bip.um.bydgoszcz.pl"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bip.um.bydgoszcz.pl" TargetMode="External"/><Relationship Id="rId20" Type="http://schemas.openxmlformats.org/officeDocument/2006/relationships/hyperlink" Target="https://bip.um.bydgoszcz.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awomiejscowe.pl/UrzadMiastaBydgoszczy/tabBrowser/bags/100/Zbi%C3%B3r-uchwa%C5%82-Rady-Miasta-Bydgoszczy"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bip.um.bydgoszcz.pl" TargetMode="External"/><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s://www.gov.pl/web/rdos-bydgoszcz/mapa-strony?show-bip=true" TargetMode="External"/><Relationship Id="rId19" Type="http://schemas.openxmlformats.org/officeDocument/2006/relationships/hyperlink" Target="https://bip.um.bydgoszcz.pl" TargetMode="External"/><Relationship Id="rId4" Type="http://schemas.openxmlformats.org/officeDocument/2006/relationships/settings" Target="settings.xml"/><Relationship Id="rId9" Type="http://schemas.openxmlformats.org/officeDocument/2006/relationships/hyperlink" Target="https://bip.um.bydgoszcz.pl/artykuly/1196/wydane-decyzje" TargetMode="External"/><Relationship Id="rId14" Type="http://schemas.openxmlformats.org/officeDocument/2006/relationships/hyperlink" Target="https://bip.um.bydgoszcz.pl"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F5707-196C-4E12-8E5D-6E23200A3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11202</Words>
  <Characters>67215</Characters>
  <Application>Microsoft Office Word</Application>
  <DocSecurity>0</DocSecurity>
  <Lines>560</Lines>
  <Paragraphs>156</Paragraphs>
  <ScaleCrop>false</ScaleCrop>
  <HeadingPairs>
    <vt:vector size="2" baseType="variant">
      <vt:variant>
        <vt:lpstr>Tytuł</vt:lpstr>
      </vt:variant>
      <vt:variant>
        <vt:i4>1</vt:i4>
      </vt:variant>
    </vt:vector>
  </HeadingPairs>
  <TitlesOfParts>
    <vt:vector size="1" baseType="lpstr">
      <vt:lpstr/>
    </vt:vector>
  </TitlesOfParts>
  <Company>Kancelaria Prezesa Rady Ministrow</Company>
  <LinksUpToDate>false</LinksUpToDate>
  <CharactersWithSpaces>78261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Pietrzak Ewa</dc:creator>
  <cp:lastModifiedBy>Emilia Imbirowska</cp:lastModifiedBy>
  <cp:revision>5</cp:revision>
  <cp:lastPrinted>2024-11-21T06:06:00Z</cp:lastPrinted>
  <dcterms:created xsi:type="dcterms:W3CDTF">2024-10-10T12:49:00Z</dcterms:created>
  <dcterms:modified xsi:type="dcterms:W3CDTF">2024-11-21T06:07:00Z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1,3,5</vt:lpwstr>
  </property>
  <property fmtid="{D5CDD505-2E9C-101B-9397-08002B2CF9AE}" pid="3" name="ClassificationContentMarkingHeaderFontProps">
    <vt:lpwstr>#000000,8,Calibri</vt:lpwstr>
  </property>
  <property fmtid="{D5CDD505-2E9C-101B-9397-08002B2CF9AE}" pid="4" name="ClassificationContentMarkingHeaderText">
    <vt:lpwstr>_x000d_
                 Informacje Służbowe podmiotu z Grupy mBank - objęte ochroną | mBank Groups entity Business information - protected</vt:lpwstr>
  </property>
  <property fmtid="{D5CDD505-2E9C-101B-9397-08002B2CF9AE}" pid="5" name="MSIP_Label_c5b65afd-6ea5-476e-a61a-9d993387407d_Enabled">
    <vt:lpwstr>true</vt:lpwstr>
  </property>
  <property fmtid="{D5CDD505-2E9C-101B-9397-08002B2CF9AE}" pid="6" name="MSIP_Label_c5b65afd-6ea5-476e-a61a-9d993387407d_SetDate">
    <vt:lpwstr>2024-09-13T13:42:17Z</vt:lpwstr>
  </property>
  <property fmtid="{D5CDD505-2E9C-101B-9397-08002B2CF9AE}" pid="7" name="MSIP_Label_c5b65afd-6ea5-476e-a61a-9d993387407d_Method">
    <vt:lpwstr>Standard</vt:lpwstr>
  </property>
  <property fmtid="{D5CDD505-2E9C-101B-9397-08002B2CF9AE}" pid="8" name="MSIP_Label_c5b65afd-6ea5-476e-a61a-9d993387407d_Name">
    <vt:lpwstr>RMSProd31</vt:lpwstr>
  </property>
  <property fmtid="{D5CDD505-2E9C-101B-9397-08002B2CF9AE}" pid="9" name="MSIP_Label_c5b65afd-6ea5-476e-a61a-9d993387407d_SiteId">
    <vt:lpwstr>870a70bc-da20-400b-a46d-2df3fe44e4f3</vt:lpwstr>
  </property>
  <property fmtid="{D5CDD505-2E9C-101B-9397-08002B2CF9AE}" pid="10" name="MSIP_Label_c5b65afd-6ea5-476e-a61a-9d993387407d_ActionId">
    <vt:lpwstr>609eaf89-f49b-44d3-8359-de4616eb0ef3</vt:lpwstr>
  </property>
  <property fmtid="{D5CDD505-2E9C-101B-9397-08002B2CF9AE}" pid="11" name="MSIP_Label_c5b65afd-6ea5-476e-a61a-9d993387407d_ContentBits">
    <vt:lpwstr>1</vt:lpwstr>
  </property>
</Properties>
</file>